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4954" w14:textId="2B5ECC96" w:rsidR="003F6137" w:rsidRPr="003F6137" w:rsidRDefault="003F6137" w:rsidP="003F613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9AFDF8" wp14:editId="3BB5969B">
                <wp:simplePos x="0" y="0"/>
                <wp:positionH relativeFrom="column">
                  <wp:posOffset>-914400</wp:posOffset>
                </wp:positionH>
                <wp:positionV relativeFrom="paragraph">
                  <wp:posOffset>-925195</wp:posOffset>
                </wp:positionV>
                <wp:extent cx="675005" cy="10340975"/>
                <wp:effectExtent l="0" t="0" r="1079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" cy="10340975"/>
                        </a:xfrm>
                        <a:prstGeom prst="rect">
                          <a:avLst/>
                        </a:prstGeom>
                        <a:solidFill>
                          <a:srgbClr val="174988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A32A0B" w14:textId="77777777" w:rsidR="00716089" w:rsidRDefault="00716089" w:rsidP="00726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FDF8" id="Rectangle 5" o:spid="_x0000_s1026" style="position:absolute;margin-left:-1in;margin-top:-72.85pt;width:53.15pt;height:8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" fillcolor="#174988" strokecolor="#385d8a" strokeweight="2pt">
                <v:path arrowok="t"/>
                <v:textbox>
                  <w:txbxContent>
                    <w:p w14:paraId="35A32A0B" w14:textId="77777777" w:rsidR="00716089" w:rsidRDefault="00716089" w:rsidP="00726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7C88D2C" wp14:editId="405F888F">
            <wp:simplePos x="0" y="0"/>
            <wp:positionH relativeFrom="margin">
              <wp:posOffset>4386580</wp:posOffset>
            </wp:positionH>
            <wp:positionV relativeFrom="margin">
              <wp:posOffset>-10795</wp:posOffset>
            </wp:positionV>
            <wp:extent cx="1975485" cy="772795"/>
            <wp:effectExtent l="0" t="0" r="571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872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New Topographic</w:t>
      </w:r>
      <w:r w:rsidRPr="003F6137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 xml:space="preserve"> Data </w:t>
      </w:r>
      <w:r w:rsidR="00443D0F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TSDN Project Narrative</w:t>
      </w:r>
    </w:p>
    <w:p w14:paraId="6661C699" w14:textId="505D03D7" w:rsidR="003F6137" w:rsidRPr="003F6137" w:rsidRDefault="00B47872" w:rsidP="003F613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Branch</w:t>
      </w:r>
      <w:r w:rsidR="00E44B7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 xml:space="preserve"> County, 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MI</w:t>
      </w:r>
    </w:p>
    <w:p w14:paraId="500CC66E" w14:textId="0DCB1DCE" w:rsidR="003F6137" w:rsidRPr="003F6137" w:rsidRDefault="00B47872" w:rsidP="00531463">
      <w:pPr>
        <w:pBdr>
          <w:bottom w:val="single" w:sz="8" w:space="4" w:color="4F81BD"/>
        </w:pBdr>
        <w:tabs>
          <w:tab w:val="center" w:pos="0"/>
        </w:tabs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</w:rPr>
        <w:t>March 2018</w:t>
      </w:r>
    </w:p>
    <w:p w14:paraId="1525448D" w14:textId="18BFEE0C" w:rsidR="005E5F96" w:rsidRDefault="000B22C1" w:rsidP="000D5DE8">
      <w:pPr>
        <w:pStyle w:val="Heading1"/>
        <w:ind w:left="360"/>
      </w:pPr>
      <w:bookmarkStart w:id="0" w:name="_Toc509911996"/>
      <w:r>
        <w:rPr>
          <w:noProof/>
        </w:rPr>
        <w:drawing>
          <wp:inline distT="0" distB="0" distL="0" distR="0" wp14:anchorId="46324C8A" wp14:editId="3B6697BF">
            <wp:extent cx="6140954" cy="553956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954" cy="553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1BFBE8" w14:textId="23CE53E5" w:rsidR="000B22C1" w:rsidRDefault="000B22C1" w:rsidP="000B22C1"/>
    <w:p w14:paraId="3D7537E2" w14:textId="77777777" w:rsidR="005C1100" w:rsidRPr="000B22C1" w:rsidRDefault="005C1100" w:rsidP="000B22C1"/>
    <w:p w14:paraId="51C39FDA" w14:textId="13190B38" w:rsidR="00443D0F" w:rsidRPr="00443D0F" w:rsidRDefault="00F7659E" w:rsidP="000D5DE8">
      <w:pPr>
        <w:pStyle w:val="Heading1"/>
        <w:ind w:left="360"/>
        <w:rPr>
          <w:rFonts w:eastAsia="Times New Roman"/>
        </w:rPr>
      </w:pPr>
      <w:bookmarkStart w:id="1" w:name="_Toc450926271"/>
      <w:bookmarkStart w:id="2" w:name="_Toc464482183"/>
      <w:bookmarkStart w:id="3" w:name="_Toc509911997"/>
      <w:r>
        <w:rPr>
          <w:rFonts w:ascii="Cambria" w:eastAsia="Times New Roman" w:hAnsi="Cambria" w:cs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D7BB" wp14:editId="42D013F9">
                <wp:simplePos x="0" y="0"/>
                <wp:positionH relativeFrom="column">
                  <wp:posOffset>1699571</wp:posOffset>
                </wp:positionH>
                <wp:positionV relativeFrom="paragraph">
                  <wp:posOffset>152843</wp:posOffset>
                </wp:positionV>
                <wp:extent cx="4876165" cy="1219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AB66" w14:textId="77777777" w:rsidR="00B47872" w:rsidRPr="00B47872" w:rsidRDefault="00B47872" w:rsidP="00B47872">
                            <w:pPr>
                              <w:widowControl w:val="0"/>
                              <w:spacing w:before="228" w:after="0" w:line="240" w:lineRule="auto"/>
                              <w:ind w:right="102"/>
                              <w:jc w:val="right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1"/>
                                <w:sz w:val="28"/>
                              </w:rPr>
                              <w:t>Federal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  <w:sz w:val="28"/>
                              </w:rPr>
                              <w:t>Emergency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  <w:sz w:val="28"/>
                              </w:rPr>
                              <w:t>Management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-1"/>
                                <w:sz w:val="28"/>
                              </w:rPr>
                              <w:t>Agency,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  <w:sz w:val="28"/>
                              </w:rPr>
                              <w:t>Region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2"/>
                                <w:sz w:val="28"/>
                              </w:rPr>
                              <w:t>V</w:t>
                            </w:r>
                          </w:p>
                          <w:p w14:paraId="6B8962B6" w14:textId="77777777" w:rsidR="00B47872" w:rsidRPr="00B47872" w:rsidRDefault="00B47872" w:rsidP="00B47872">
                            <w:pPr>
                              <w:widowControl w:val="0"/>
                              <w:spacing w:after="0" w:line="240" w:lineRule="auto"/>
                              <w:ind w:right="114"/>
                              <w:jc w:val="right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  <w:sz w:val="28"/>
                              </w:rPr>
                              <w:t>Department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2"/>
                                <w:sz w:val="28"/>
                              </w:rPr>
                              <w:t>of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  <w:sz w:val="28"/>
                              </w:rPr>
                              <w:t>Homeland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  <w:sz w:val="28"/>
                              </w:rPr>
                              <w:t>Security</w:t>
                            </w:r>
                          </w:p>
                          <w:p w14:paraId="109CC74C" w14:textId="77777777" w:rsidR="00B47872" w:rsidRPr="00B47872" w:rsidRDefault="00B47872" w:rsidP="00B47872">
                            <w:pPr>
                              <w:widowControl w:val="0"/>
                              <w:spacing w:after="0" w:line="257" w:lineRule="exact"/>
                              <w:ind w:right="109"/>
                              <w:jc w:val="right"/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</w:rPr>
                            </w:pP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</w:rPr>
                              <w:t>536 South Clark Street</w:t>
                            </w:r>
                          </w:p>
                          <w:p w14:paraId="699666BA" w14:textId="77777777" w:rsidR="00B47872" w:rsidRPr="00B47872" w:rsidRDefault="00B47872" w:rsidP="00B47872">
                            <w:pPr>
                              <w:widowControl w:val="0"/>
                              <w:spacing w:after="0" w:line="257" w:lineRule="exact"/>
                              <w:ind w:right="109"/>
                              <w:jc w:val="right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B47872">
                              <w:rPr>
                                <w:rFonts w:ascii="Cambria" w:eastAsia="Calibri" w:hAnsi="Calibri" w:cs="Times New Roman"/>
                                <w:color w:val="17365D"/>
                                <w:spacing w:val="3"/>
                              </w:rPr>
                              <w:t>Chicago, IL 60605</w:t>
                            </w:r>
                          </w:p>
                          <w:p w14:paraId="5D5D079E" w14:textId="2A71CF7D" w:rsidR="00E44B73" w:rsidRDefault="00E44B73" w:rsidP="00E44B73">
                            <w:pPr>
                              <w:pStyle w:val="Title"/>
                              <w:pBdr>
                                <w:bottom w:val="single" w:sz="8" w:space="31" w:color="4F81BD"/>
                              </w:pBd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7615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4FA1ED3" w14:textId="77777777" w:rsidR="00E44B73" w:rsidRPr="00276152" w:rsidRDefault="00E44B73" w:rsidP="00E44B73"/>
                          <w:p w14:paraId="1A7D6A1C" w14:textId="77777777" w:rsidR="00E44B73" w:rsidRPr="00276152" w:rsidRDefault="00E44B73" w:rsidP="00E44B73"/>
                          <w:p w14:paraId="585C6566" w14:textId="77777777" w:rsidR="00E44B73" w:rsidRPr="00EC64D9" w:rsidRDefault="00E44B73" w:rsidP="00E44B73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color w:val="17365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D7B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133.8pt;margin-top:12.05pt;width:383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" filled="f" stroked="f">
                <v:textbox>
                  <w:txbxContent>
                    <w:p w14:paraId="6B31AB66" w14:textId="77777777" w:rsidR="00B47872" w:rsidRPr="00B47872" w:rsidRDefault="00B47872" w:rsidP="00B47872">
                      <w:pPr>
                        <w:widowControl w:val="0"/>
                        <w:spacing w:before="228" w:after="0" w:line="240" w:lineRule="auto"/>
                        <w:ind w:right="102"/>
                        <w:jc w:val="right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1"/>
                          <w:sz w:val="28"/>
                        </w:rPr>
                        <w:t>Federal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10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  <w:sz w:val="28"/>
                        </w:rPr>
                        <w:t>Emergency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9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  <w:sz w:val="28"/>
                        </w:rPr>
                        <w:t>Management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10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-1"/>
                          <w:sz w:val="28"/>
                        </w:rPr>
                        <w:t>Agency,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9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  <w:sz w:val="28"/>
                        </w:rPr>
                        <w:t>Region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21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2"/>
                          <w:sz w:val="28"/>
                        </w:rPr>
                        <w:t>V</w:t>
                      </w:r>
                    </w:p>
                    <w:p w14:paraId="6B8962B6" w14:textId="77777777" w:rsidR="00B47872" w:rsidRPr="00B47872" w:rsidRDefault="00B47872" w:rsidP="00B47872">
                      <w:pPr>
                        <w:widowControl w:val="0"/>
                        <w:spacing w:after="0" w:line="240" w:lineRule="auto"/>
                        <w:ind w:right="114"/>
                        <w:jc w:val="right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  <w:sz w:val="28"/>
                        </w:rPr>
                        <w:t>Department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10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2"/>
                          <w:sz w:val="28"/>
                        </w:rPr>
                        <w:t>of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8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  <w:sz w:val="28"/>
                        </w:rPr>
                        <w:t>Homeland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10"/>
                          <w:sz w:val="28"/>
                        </w:rPr>
                        <w:t xml:space="preserve"> </w:t>
                      </w: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  <w:sz w:val="28"/>
                        </w:rPr>
                        <w:t>Security</w:t>
                      </w:r>
                    </w:p>
                    <w:p w14:paraId="109CC74C" w14:textId="77777777" w:rsidR="00B47872" w:rsidRPr="00B47872" w:rsidRDefault="00B47872" w:rsidP="00B47872">
                      <w:pPr>
                        <w:widowControl w:val="0"/>
                        <w:spacing w:after="0" w:line="257" w:lineRule="exact"/>
                        <w:ind w:right="109"/>
                        <w:jc w:val="right"/>
                        <w:rPr>
                          <w:rFonts w:ascii="Cambria" w:eastAsia="Calibri" w:hAnsi="Calibri" w:cs="Times New Roman"/>
                          <w:color w:val="17365D"/>
                          <w:spacing w:val="3"/>
                        </w:rPr>
                      </w:pP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</w:rPr>
                        <w:t>536 South Clark Street</w:t>
                      </w:r>
                    </w:p>
                    <w:p w14:paraId="699666BA" w14:textId="77777777" w:rsidR="00B47872" w:rsidRPr="00B47872" w:rsidRDefault="00B47872" w:rsidP="00B47872">
                      <w:pPr>
                        <w:widowControl w:val="0"/>
                        <w:spacing w:after="0" w:line="257" w:lineRule="exact"/>
                        <w:ind w:right="109"/>
                        <w:jc w:val="right"/>
                        <w:rPr>
                          <w:rFonts w:ascii="Cambria" w:eastAsia="Cambria" w:hAnsi="Cambria" w:cs="Cambria"/>
                        </w:rPr>
                      </w:pPr>
                      <w:r w:rsidRPr="00B47872">
                        <w:rPr>
                          <w:rFonts w:ascii="Cambria" w:eastAsia="Calibri" w:hAnsi="Calibri" w:cs="Times New Roman"/>
                          <w:color w:val="17365D"/>
                          <w:spacing w:val="3"/>
                        </w:rPr>
                        <w:t>Chicago, IL 60605</w:t>
                      </w:r>
                    </w:p>
                    <w:p w14:paraId="5D5D079E" w14:textId="2A71CF7D" w:rsidR="00E44B73" w:rsidRDefault="00E44B73" w:rsidP="00E44B73">
                      <w:pPr>
                        <w:pStyle w:val="Title"/>
                        <w:pBdr>
                          <w:bottom w:val="single" w:sz="8" w:space="31" w:color="4F81BD"/>
                        </w:pBdr>
                        <w:jc w:val="right"/>
                        <w:rPr>
                          <w:sz w:val="32"/>
                          <w:szCs w:val="32"/>
                        </w:rPr>
                      </w:pPr>
                      <w:r w:rsidRPr="00276152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54FA1ED3" w14:textId="77777777" w:rsidR="00E44B73" w:rsidRPr="00276152" w:rsidRDefault="00E44B73" w:rsidP="00E44B73"/>
                    <w:p w14:paraId="1A7D6A1C" w14:textId="77777777" w:rsidR="00E44B73" w:rsidRPr="00276152" w:rsidRDefault="00E44B73" w:rsidP="00E44B73"/>
                    <w:p w14:paraId="585C6566" w14:textId="77777777" w:rsidR="00E44B73" w:rsidRPr="00EC64D9" w:rsidRDefault="00E44B73" w:rsidP="00E44B73"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color w:val="17365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5E5F96">
        <w:br w:type="page"/>
      </w:r>
      <w:bookmarkStart w:id="4" w:name="_Toc449538679"/>
      <w:bookmarkStart w:id="5" w:name="_Toc449540207"/>
      <w:bookmarkStart w:id="6" w:name="_Toc450049065"/>
    </w:p>
    <w:p w14:paraId="58D844BC" w14:textId="77777777" w:rsidR="00941D89" w:rsidRDefault="00941D89" w:rsidP="00443D0F">
      <w:pPr>
        <w:pStyle w:val="Heading1"/>
        <w:numPr>
          <w:ilvl w:val="0"/>
          <w:numId w:val="12"/>
        </w:numPr>
        <w:rPr>
          <w:rFonts w:eastAsia="Times New Roman"/>
        </w:rPr>
        <w:sectPr w:rsidR="00941D8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19184309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D1D8A1" w14:textId="77777777" w:rsidR="00941D89" w:rsidRDefault="00941D89" w:rsidP="000D5DE8">
          <w:pPr>
            <w:pStyle w:val="TOCHeading"/>
          </w:pPr>
          <w:r>
            <w:t>Table of Contents</w:t>
          </w:r>
        </w:p>
        <w:p w14:paraId="4EABE325" w14:textId="08D78401" w:rsidR="00234464" w:rsidRDefault="00941D89" w:rsidP="0023446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335D83C" w14:textId="2C1CA01A" w:rsidR="00234464" w:rsidRDefault="00074C6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911998" w:history="1">
            <w:r w:rsidR="00234464" w:rsidRPr="0055587A">
              <w:rPr>
                <w:rStyle w:val="Hyperlink"/>
                <w:noProof/>
              </w:rPr>
              <w:t>1.0 Introduction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_Toc509911998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1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33B54ED0" w14:textId="18611041" w:rsidR="00234464" w:rsidRDefault="00074C6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911999" w:history="1">
            <w:r w:rsidR="00234464" w:rsidRPr="0055587A">
              <w:rPr>
                <w:rStyle w:val="Hyperlink"/>
                <w:noProof/>
              </w:rPr>
              <w:t>2.0 Scope of Work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_Toc509911999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3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4D9D534F" w14:textId="7CC4F44A" w:rsidR="00234464" w:rsidRDefault="00074C6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9912000" w:history="1">
            <w:r w:rsidR="00234464" w:rsidRPr="0055587A">
              <w:rPr>
                <w:rStyle w:val="Hyperlink"/>
                <w:noProof/>
              </w:rPr>
              <w:t>3.0</w:t>
            </w:r>
            <w:r w:rsidR="00234464">
              <w:rPr>
                <w:rFonts w:eastAsiaTheme="minorEastAsia"/>
                <w:noProof/>
              </w:rPr>
              <w:t xml:space="preserve"> </w:t>
            </w:r>
            <w:r w:rsidR="00234464" w:rsidRPr="0055587A">
              <w:rPr>
                <w:rStyle w:val="Hyperlink"/>
                <w:noProof/>
              </w:rPr>
              <w:t>Issues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_Toc509912000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4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2791DE0F" w14:textId="7B1BC88C" w:rsidR="00234464" w:rsidRDefault="00074C6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9912001" w:history="1">
            <w:r w:rsidR="00234464" w:rsidRPr="0055587A">
              <w:rPr>
                <w:rStyle w:val="Hyperlink"/>
                <w:noProof/>
              </w:rPr>
              <w:t>4.0</w:t>
            </w:r>
            <w:r w:rsidR="00234464">
              <w:rPr>
                <w:rFonts w:eastAsiaTheme="minorEastAsia"/>
                <w:noProof/>
              </w:rPr>
              <w:t xml:space="preserve"> </w:t>
            </w:r>
            <w:r w:rsidR="00234464" w:rsidRPr="0055587A">
              <w:rPr>
                <w:rStyle w:val="Hyperlink"/>
                <w:noProof/>
              </w:rPr>
              <w:t>Information for the Next Mapping Partner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_Toc509912001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4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2200AF8E" w14:textId="40CE9382" w:rsidR="00234464" w:rsidRDefault="00074C6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912002" w:history="1">
            <w:r w:rsidR="00234464" w:rsidRPr="0055587A">
              <w:rPr>
                <w:rStyle w:val="Hyperlink"/>
                <w:noProof/>
              </w:rPr>
              <w:t>4.1 Vertical Accuracy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_Toc509912002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4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0F5BA6B7" w14:textId="7266E9A3" w:rsidR="00234464" w:rsidRDefault="00074C6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912003" w:history="1">
            <w:r w:rsidR="00234464" w:rsidRPr="0055587A">
              <w:rPr>
                <w:rStyle w:val="Hyperlink"/>
                <w:noProof/>
              </w:rPr>
              <w:t>4.2 LiDAR Acquisition and Post Processing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_Toc509912003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5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4A1782F0" w14:textId="1F2E4CE5" w:rsidR="00234464" w:rsidRDefault="00074C6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9912004" w:history="1">
            <w:r w:rsidR="00234464" w:rsidRPr="0055587A">
              <w:rPr>
                <w:rStyle w:val="Hyperlink"/>
                <w:noProof/>
              </w:rPr>
              <w:t>4.3 Quality Assurance</w:t>
            </w:r>
            <w:r w:rsidR="00234464">
              <w:rPr>
                <w:noProof/>
                <w:webHidden/>
              </w:rPr>
              <w:tab/>
            </w:r>
            <w:r w:rsidR="00234464">
              <w:rPr>
                <w:noProof/>
                <w:webHidden/>
              </w:rPr>
              <w:fldChar w:fldCharType="begin"/>
            </w:r>
            <w:r w:rsidR="00234464">
              <w:rPr>
                <w:noProof/>
                <w:webHidden/>
              </w:rPr>
              <w:instrText xml:space="preserve"> PAGEREF _Toc509912004 \h </w:instrText>
            </w:r>
            <w:r w:rsidR="00234464">
              <w:rPr>
                <w:noProof/>
                <w:webHidden/>
              </w:rPr>
            </w:r>
            <w:r w:rsidR="00234464">
              <w:rPr>
                <w:noProof/>
                <w:webHidden/>
              </w:rPr>
              <w:fldChar w:fldCharType="separate"/>
            </w:r>
            <w:r w:rsidR="00B909B1">
              <w:rPr>
                <w:noProof/>
                <w:webHidden/>
              </w:rPr>
              <w:t>5</w:t>
            </w:r>
            <w:r w:rsidR="00234464">
              <w:rPr>
                <w:noProof/>
                <w:webHidden/>
              </w:rPr>
              <w:fldChar w:fldCharType="end"/>
            </w:r>
          </w:hyperlink>
        </w:p>
        <w:p w14:paraId="0072B7C2" w14:textId="5EA2CCD0" w:rsidR="00941D89" w:rsidRDefault="00941D89">
          <w:r>
            <w:rPr>
              <w:b/>
              <w:bCs/>
              <w:noProof/>
            </w:rPr>
            <w:fldChar w:fldCharType="end"/>
          </w:r>
        </w:p>
      </w:sdtContent>
    </w:sdt>
    <w:p w14:paraId="4C004466" w14:textId="77777777" w:rsidR="00941D89" w:rsidRPr="00941D89" w:rsidRDefault="00941D89" w:rsidP="00941D89">
      <w:pPr>
        <w:sectPr w:rsidR="00941D89" w:rsidRPr="00941D8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EC2E3" w14:textId="06697CBB" w:rsidR="00CE2602" w:rsidRPr="007A381E" w:rsidRDefault="00857B3C" w:rsidP="007A381E">
      <w:pPr>
        <w:pStyle w:val="Heading1"/>
      </w:pPr>
      <w:r w:rsidRPr="007A381E">
        <w:lastRenderedPageBreak/>
        <w:t xml:space="preserve"> </w:t>
      </w:r>
      <w:bookmarkStart w:id="7" w:name="_Toc509911998"/>
      <w:bookmarkEnd w:id="4"/>
      <w:bookmarkEnd w:id="5"/>
      <w:bookmarkEnd w:id="6"/>
      <w:r w:rsidR="007A381E">
        <w:t xml:space="preserve">1.0 </w:t>
      </w:r>
      <w:r w:rsidR="00400003" w:rsidRPr="007A381E">
        <w:t>I</w:t>
      </w:r>
      <w:r w:rsidR="004D3E6F" w:rsidRPr="007A381E">
        <w:t>ntroduction</w:t>
      </w:r>
      <w:bookmarkEnd w:id="7"/>
    </w:p>
    <w:p w14:paraId="177755E9" w14:textId="13EFAF8B" w:rsidR="00AE2B98" w:rsidRDefault="004501EB" w:rsidP="00857B3C">
      <w:pPr>
        <w:pStyle w:val="ListParagraph"/>
        <w:spacing w:after="0"/>
        <w:jc w:val="both"/>
      </w:pPr>
      <w:r>
        <w:t xml:space="preserve"> </w:t>
      </w:r>
      <w:r w:rsidR="002E3199">
        <w:t>T</w:t>
      </w:r>
      <w:r w:rsidR="006506B5">
        <w:t>o support the</w:t>
      </w:r>
      <w:r w:rsidR="00E17A90">
        <w:t xml:space="preserve"> </w:t>
      </w:r>
      <w:r w:rsidR="00E17A90" w:rsidRPr="00BC5703">
        <w:t>Risk</w:t>
      </w:r>
      <w:r w:rsidR="00E17A90">
        <w:t xml:space="preserve"> </w:t>
      </w:r>
      <w:r w:rsidR="00E17A90" w:rsidRPr="00BC5703">
        <w:t>Mapping, Assessment, and Planning (Risk MAP)</w:t>
      </w:r>
      <w:r w:rsidR="00E17A90">
        <w:t xml:space="preserve"> program </w:t>
      </w:r>
      <w:r w:rsidR="006506B5">
        <w:t>FEMA has made a commitment to acquire high-resolution LiDAR elevation data</w:t>
      </w:r>
      <w:r w:rsidR="0000276F">
        <w:t xml:space="preserve">.  </w:t>
      </w:r>
      <w:r>
        <w:t xml:space="preserve">The incorporation of more accurate topography </w:t>
      </w:r>
      <w:r w:rsidR="0000276F">
        <w:t xml:space="preserve">improves the </w:t>
      </w:r>
      <w:r>
        <w:t>precision</w:t>
      </w:r>
      <w:r w:rsidR="0000276F">
        <w:t xml:space="preserve"> and reliability of </w:t>
      </w:r>
      <w:r>
        <w:t>flood hazard data</w:t>
      </w:r>
      <w:r w:rsidR="00C26298">
        <w:t xml:space="preserve">.  </w:t>
      </w:r>
      <w:r>
        <w:t>This</w:t>
      </w:r>
      <w:r w:rsidR="00207C53">
        <w:t>, in turn</w:t>
      </w:r>
      <w:r w:rsidR="007B4DD2">
        <w:t>, improves</w:t>
      </w:r>
      <w:r>
        <w:t xml:space="preserve"> the quality of Flood Insurance Rate Maps </w:t>
      </w:r>
      <w:r w:rsidR="006506B5">
        <w:t xml:space="preserve">and Flood Risk </w:t>
      </w:r>
      <w:r w:rsidR="0000276F">
        <w:t>Assessments</w:t>
      </w:r>
      <w:r w:rsidR="003747FC">
        <w:t xml:space="preserve"> so communities are able to make informed decisions to protect their citizens and become more resilient to flood related hazards. </w:t>
      </w:r>
      <w:r>
        <w:t xml:space="preserve">    </w:t>
      </w:r>
      <w:r w:rsidR="0000276F">
        <w:t xml:space="preserve">  </w:t>
      </w:r>
    </w:p>
    <w:p w14:paraId="58277E25" w14:textId="77777777" w:rsidR="00E27C34" w:rsidRDefault="00E27C34" w:rsidP="00857B3C">
      <w:pPr>
        <w:pStyle w:val="ListParagraph"/>
        <w:spacing w:after="0"/>
        <w:jc w:val="both"/>
      </w:pPr>
    </w:p>
    <w:p w14:paraId="7E1F3B9D" w14:textId="71A4A9BF" w:rsidR="00457229" w:rsidRDefault="00AE2B98" w:rsidP="00857B3C">
      <w:pPr>
        <w:pStyle w:val="ListParagraph"/>
        <w:spacing w:after="0"/>
        <w:jc w:val="both"/>
      </w:pPr>
      <w:r>
        <w:t xml:space="preserve">The purpose of this elevation dataset is to provide the basis for riverine hydrologic and hydraulic modeling </w:t>
      </w:r>
      <w:r w:rsidR="00950AB1">
        <w:t>and flood risk product development in Branch</w:t>
      </w:r>
      <w:r w:rsidR="00E17A90">
        <w:t xml:space="preserve"> County, Michigan</w:t>
      </w:r>
      <w:r w:rsidR="004352A8">
        <w:t xml:space="preserve">.  </w:t>
      </w:r>
    </w:p>
    <w:p w14:paraId="0F3EDEA3" w14:textId="77777777" w:rsidR="00457229" w:rsidRDefault="00457229" w:rsidP="00857B3C">
      <w:pPr>
        <w:pStyle w:val="ListParagraph"/>
        <w:spacing w:after="0"/>
        <w:jc w:val="both"/>
      </w:pPr>
    </w:p>
    <w:p w14:paraId="79EFDC91" w14:textId="52310C16" w:rsidR="00E86D4E" w:rsidRDefault="00457229" w:rsidP="00857B3C">
      <w:pPr>
        <w:pStyle w:val="ListParagraph"/>
        <w:spacing w:after="0"/>
        <w:jc w:val="both"/>
      </w:pPr>
      <w:r>
        <w:t xml:space="preserve">LiDAR acquisition </w:t>
      </w:r>
      <w:r w:rsidR="007B4DD2">
        <w:t xml:space="preserve">and post processing </w:t>
      </w:r>
      <w:r>
        <w:t xml:space="preserve">objectives for the </w:t>
      </w:r>
      <w:r w:rsidR="00E17A90">
        <w:t>Branch County, MI</w:t>
      </w:r>
      <w:r>
        <w:t xml:space="preserve"> project are as follows:</w:t>
      </w:r>
    </w:p>
    <w:p w14:paraId="01EDA037" w14:textId="77777777" w:rsidR="00227207" w:rsidRDefault="00227207" w:rsidP="00457229">
      <w:pPr>
        <w:pStyle w:val="ListParagraph"/>
        <w:spacing w:after="0"/>
      </w:pPr>
    </w:p>
    <w:p w14:paraId="14280313" w14:textId="310E7D8C" w:rsidR="00457229" w:rsidRDefault="00457229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Satisfy USGS 3DEP requirements for Quality Level 2 elevation data</w:t>
      </w:r>
    </w:p>
    <w:p w14:paraId="5E0AA002" w14:textId="13F32A12" w:rsidR="00E86D4E" w:rsidRDefault="00E86D4E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ASPRS LAS 1.4 format with point data record 6</w:t>
      </w:r>
    </w:p>
    <w:p w14:paraId="58A94EBB" w14:textId="72A1AF94" w:rsidR="00457229" w:rsidRDefault="00457229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Collect raw point cloud swaths that cover the entire project area</w:t>
      </w:r>
    </w:p>
    <w:p w14:paraId="5B0017CD" w14:textId="3FD9C610" w:rsidR="00457229" w:rsidRDefault="00457229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Obtain an Aggregate Pulse Density (ANPD) of greater than 2 pulses per square meter</w:t>
      </w:r>
    </w:p>
    <w:p w14:paraId="2D9E0AAF" w14:textId="2090330C" w:rsidR="00457229" w:rsidRDefault="00E86D4E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Achieve an Aggregate Point Spacing (ANPS) of less than 0.71 meters or 2.32 feet</w:t>
      </w:r>
    </w:p>
    <w:p w14:paraId="230CB50A" w14:textId="57032807" w:rsidR="00C3079A" w:rsidRDefault="00EA5B4A" w:rsidP="007E0C13">
      <w:pPr>
        <w:pStyle w:val="ListParagraph"/>
        <w:numPr>
          <w:ilvl w:val="0"/>
          <w:numId w:val="16"/>
        </w:numPr>
        <w:spacing w:after="0"/>
        <w:ind w:left="720"/>
      </w:pPr>
      <w:r>
        <w:t xml:space="preserve">Provide </w:t>
      </w:r>
      <w:r w:rsidR="00C3079A">
        <w:t xml:space="preserve">LAS files in tiled format </w:t>
      </w:r>
      <w:r>
        <w:t>with the following classifications</w:t>
      </w:r>
    </w:p>
    <w:p w14:paraId="398A15D4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Class 1 = Processed but Unclassified</w:t>
      </w:r>
    </w:p>
    <w:p w14:paraId="01742DA7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Class 2 = Bare Earth</w:t>
      </w:r>
    </w:p>
    <w:p w14:paraId="610805A8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Class 7 = Low Noise</w:t>
      </w:r>
    </w:p>
    <w:p w14:paraId="0BCDDB66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Class 9 = Water</w:t>
      </w:r>
    </w:p>
    <w:p w14:paraId="73667D11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Class 10 = Ignored Ground (Near a Breakline)</w:t>
      </w:r>
    </w:p>
    <w:p w14:paraId="3DD8EB0A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Class 17 = Bridge Decks</w:t>
      </w:r>
    </w:p>
    <w:p w14:paraId="45BDADD5" w14:textId="77777777" w:rsidR="00EA5B4A" w:rsidRDefault="00EA5B4A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 xml:space="preserve">Class 18 = High Noise </w:t>
      </w:r>
    </w:p>
    <w:p w14:paraId="18C29DFF" w14:textId="2F237820" w:rsidR="00E86D4E" w:rsidRDefault="00E86D4E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Meet or exceed the Non-</w:t>
      </w:r>
      <w:r w:rsidR="00C26298">
        <w:t>Vegetated</w:t>
      </w:r>
      <w:r>
        <w:t xml:space="preserve"> Vertical Accuracy Requirements for Quality Level 2</w:t>
      </w:r>
    </w:p>
    <w:p w14:paraId="7D33FC66" w14:textId="4016481C" w:rsidR="00E86D4E" w:rsidRDefault="00E86D4E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 xml:space="preserve">Less than 10 centimeters </w:t>
      </w:r>
      <w:r w:rsidR="00D7691B">
        <w:t>RMSE</w:t>
      </w:r>
      <w:r w:rsidR="00D7691B" w:rsidRPr="00761D99">
        <w:rPr>
          <w:vertAlign w:val="subscript"/>
        </w:rPr>
        <w:t>Z</w:t>
      </w:r>
      <w:r w:rsidR="00D7691B">
        <w:t xml:space="preserve"> </w:t>
      </w:r>
    </w:p>
    <w:p w14:paraId="4E66E12C" w14:textId="77777777" w:rsidR="00E86D4E" w:rsidRDefault="00E86D4E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Less than 19.6 centimeters at the 95% confidence level (Accuracy</w:t>
      </w:r>
      <w:r w:rsidRPr="00761D99">
        <w:rPr>
          <w:vertAlign w:val="subscript"/>
        </w:rPr>
        <w:t>Z</w:t>
      </w:r>
      <w:r>
        <w:t>)</w:t>
      </w:r>
    </w:p>
    <w:p w14:paraId="5BD9223C" w14:textId="7EC42675" w:rsidR="00E86D4E" w:rsidRDefault="00E86D4E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Meet or exceed the Vegetated Vertical Accuracy Requirements for Quality Level 2</w:t>
      </w:r>
    </w:p>
    <w:p w14:paraId="34033C0D" w14:textId="77777777" w:rsidR="00EA5B4A" w:rsidRDefault="00E86D4E" w:rsidP="007E0C13">
      <w:pPr>
        <w:pStyle w:val="ListParagraph"/>
        <w:numPr>
          <w:ilvl w:val="1"/>
          <w:numId w:val="16"/>
        </w:numPr>
        <w:spacing w:after="0"/>
        <w:ind w:left="1080"/>
      </w:pPr>
      <w:r>
        <w:t>Less than 29.4 centimeters at the 95</w:t>
      </w:r>
      <w:r w:rsidRPr="00E86D4E">
        <w:rPr>
          <w:vertAlign w:val="superscript"/>
        </w:rPr>
        <w:t>th</w:t>
      </w:r>
      <w:r w:rsidR="00EA5B4A">
        <w:t xml:space="preserve"> percentile</w:t>
      </w:r>
    </w:p>
    <w:p w14:paraId="7B2399E8" w14:textId="087884AD" w:rsidR="00EA5B4A" w:rsidRDefault="00EA5B4A" w:rsidP="007E0C13">
      <w:pPr>
        <w:pStyle w:val="ListParagraph"/>
        <w:numPr>
          <w:ilvl w:val="0"/>
          <w:numId w:val="16"/>
        </w:numPr>
        <w:spacing w:after="0"/>
        <w:ind w:left="720"/>
      </w:pPr>
      <w:r>
        <w:t>Create hydro-flattened Digital Elevation Models with Breaklines</w:t>
      </w:r>
    </w:p>
    <w:p w14:paraId="70D13299" w14:textId="2050063D" w:rsidR="00857B3C" w:rsidRDefault="00857B3C" w:rsidP="00857B3C">
      <w:pPr>
        <w:spacing w:after="0"/>
      </w:pPr>
    </w:p>
    <w:p w14:paraId="390C0ABB" w14:textId="77777777" w:rsidR="00857B3C" w:rsidRDefault="00857B3C" w:rsidP="00857B3C">
      <w:pPr>
        <w:spacing w:after="0"/>
      </w:pPr>
    </w:p>
    <w:p w14:paraId="1FD45BA9" w14:textId="77777777" w:rsidR="00311AAD" w:rsidRDefault="00311AAD" w:rsidP="00311AAD">
      <w:pPr>
        <w:pStyle w:val="ListParagraph"/>
        <w:spacing w:after="0"/>
      </w:pPr>
    </w:p>
    <w:p w14:paraId="30CD17F8" w14:textId="2C23E877" w:rsidR="00531CC2" w:rsidRDefault="00531CC2" w:rsidP="00311AAD">
      <w:pPr>
        <w:pStyle w:val="ListParagraph"/>
        <w:spacing w:after="0"/>
      </w:pPr>
    </w:p>
    <w:p w14:paraId="7899E336" w14:textId="42AE817C" w:rsidR="00E17A90" w:rsidRDefault="00E17A90" w:rsidP="00311AAD">
      <w:pPr>
        <w:pStyle w:val="ListParagraph"/>
        <w:spacing w:after="0"/>
      </w:pPr>
    </w:p>
    <w:p w14:paraId="3BAA370E" w14:textId="0C0EF918" w:rsidR="00E17A90" w:rsidRDefault="00E17A90" w:rsidP="00311AAD">
      <w:pPr>
        <w:pStyle w:val="ListParagraph"/>
        <w:spacing w:after="0"/>
      </w:pPr>
    </w:p>
    <w:p w14:paraId="3576BB80" w14:textId="77777777" w:rsidR="00E17A90" w:rsidRDefault="00E17A90" w:rsidP="00311AAD">
      <w:pPr>
        <w:pStyle w:val="ListParagraph"/>
        <w:spacing w:after="0"/>
      </w:pPr>
    </w:p>
    <w:p w14:paraId="471D5A10" w14:textId="3B573D45" w:rsidR="00E86D4E" w:rsidRDefault="00E86D4E" w:rsidP="00E86D4E">
      <w:pPr>
        <w:pStyle w:val="ListParagraph"/>
        <w:spacing w:after="0"/>
      </w:pPr>
    </w:p>
    <w:p w14:paraId="789593BA" w14:textId="2FA1ADF3" w:rsidR="00760016" w:rsidRDefault="00760016" w:rsidP="00457229">
      <w:pPr>
        <w:pStyle w:val="ListParagraph"/>
        <w:spacing w:after="0"/>
        <w:rPr>
          <w:noProof/>
        </w:rPr>
      </w:pPr>
    </w:p>
    <w:p w14:paraId="48877117" w14:textId="1385D020" w:rsidR="00D65995" w:rsidRDefault="00760016" w:rsidP="00D50D08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 wp14:anchorId="61B2809B" wp14:editId="34A51E5A">
            <wp:extent cx="5902735" cy="45612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73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87EE" w14:textId="519D09C4" w:rsidR="00B909B1" w:rsidRPr="00857B3C" w:rsidRDefault="00D65995" w:rsidP="00B909B1">
      <w:pPr>
        <w:pStyle w:val="Caption"/>
        <w:rPr>
          <w:noProof/>
          <w:szCs w:val="20"/>
        </w:rPr>
      </w:pPr>
      <w:r>
        <w:tab/>
      </w:r>
      <w:r w:rsidR="00B909B1">
        <w:t xml:space="preserve">Figure </w:t>
      </w:r>
      <w:fldSimple w:instr=" SEQ Figure \* ARABIC ">
        <w:r w:rsidR="00B909B1">
          <w:rPr>
            <w:noProof/>
          </w:rPr>
          <w:t>1</w:t>
        </w:r>
      </w:fldSimple>
      <w:r w:rsidR="00B909B1">
        <w:t xml:space="preserve">. </w:t>
      </w:r>
      <w:r w:rsidR="00B909B1" w:rsidRPr="00857B3C">
        <w:rPr>
          <w:szCs w:val="20"/>
        </w:rPr>
        <w:t xml:space="preserve">  </w:t>
      </w:r>
      <w:r w:rsidR="00B909B1">
        <w:rPr>
          <w:szCs w:val="20"/>
        </w:rPr>
        <w:t>Branch County, Michigan</w:t>
      </w:r>
      <w:r w:rsidR="00B909B1" w:rsidRPr="00857B3C">
        <w:rPr>
          <w:szCs w:val="20"/>
        </w:rPr>
        <w:t xml:space="preserve"> Project </w:t>
      </w:r>
      <w:r w:rsidR="00B909B1">
        <w:rPr>
          <w:szCs w:val="20"/>
        </w:rPr>
        <w:t>A</w:t>
      </w:r>
      <w:r w:rsidR="00B909B1" w:rsidRPr="00857B3C">
        <w:rPr>
          <w:szCs w:val="20"/>
        </w:rPr>
        <w:t>rea</w:t>
      </w:r>
    </w:p>
    <w:p w14:paraId="35532FDF" w14:textId="1F0F3C71" w:rsidR="00D65995" w:rsidRPr="00B909B1" w:rsidRDefault="00D65995" w:rsidP="00D50D08">
      <w:pPr>
        <w:pStyle w:val="Caption"/>
      </w:pPr>
    </w:p>
    <w:p w14:paraId="5599807D" w14:textId="0DE3FFB0" w:rsidR="00D65995" w:rsidRDefault="00D65995" w:rsidP="00D65995"/>
    <w:p w14:paraId="7ED4BA62" w14:textId="77777777" w:rsidR="00DE4DA0" w:rsidRDefault="00DE4DA0" w:rsidP="00D50D08">
      <w:pPr>
        <w:sectPr w:rsidR="00DE4DA0" w:rsidSect="007D5C11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F0A49D6" w14:textId="29BA9A93" w:rsidR="00BC5703" w:rsidRPr="007A381E" w:rsidRDefault="00857B3C" w:rsidP="007A381E">
      <w:pPr>
        <w:pStyle w:val="Heading1"/>
      </w:pPr>
      <w:r>
        <w:lastRenderedPageBreak/>
        <w:t xml:space="preserve"> </w:t>
      </w:r>
      <w:bookmarkStart w:id="8" w:name="_Toc509911999"/>
      <w:r w:rsidR="007A381E" w:rsidRPr="007A381E">
        <w:t xml:space="preserve">2.0 </w:t>
      </w:r>
      <w:r w:rsidR="00BC5703" w:rsidRPr="007A381E">
        <w:t>Scope of Work</w:t>
      </w:r>
      <w:bookmarkEnd w:id="8"/>
    </w:p>
    <w:p w14:paraId="6F29D002" w14:textId="65D1B367" w:rsidR="00CE2602" w:rsidRPr="0094764C" w:rsidRDefault="00CE2602" w:rsidP="007E0C13">
      <w:pPr>
        <w:jc w:val="both"/>
      </w:pPr>
      <w:r w:rsidRPr="0094764C">
        <w:t xml:space="preserve">Task order </w:t>
      </w:r>
      <w:r w:rsidR="00E17A90" w:rsidRPr="00E17A90">
        <w:t>HSFE05-16-J-0207</w:t>
      </w:r>
      <w:r w:rsidR="00227207" w:rsidRPr="0094764C">
        <w:t xml:space="preserve"> </w:t>
      </w:r>
      <w:r w:rsidRPr="0094764C">
        <w:t xml:space="preserve">requires STARR II to collect and process LiDAR data for the </w:t>
      </w:r>
      <w:r w:rsidR="00E17A90">
        <w:t>Branch County, MI</w:t>
      </w:r>
      <w:r w:rsidRPr="0094764C">
        <w:t xml:space="preserve"> area of </w:t>
      </w:r>
      <w:r w:rsidR="00227207" w:rsidRPr="0094764C">
        <w:t>interest,</w:t>
      </w:r>
      <w:r w:rsidRPr="0094764C">
        <w:t xml:space="preserve"> </w:t>
      </w:r>
      <w:r w:rsidR="00227207" w:rsidRPr="0094764C">
        <w:t>t</w:t>
      </w:r>
      <w:r w:rsidR="00C26298" w:rsidRPr="0094764C">
        <w:t>he scope of work is as follows:</w:t>
      </w:r>
    </w:p>
    <w:p w14:paraId="63A1E67C" w14:textId="10CFC738" w:rsidR="000D5DE8" w:rsidRPr="0094764C" w:rsidRDefault="00CE2602" w:rsidP="007E0C13">
      <w:pPr>
        <w:pStyle w:val="ListParagraph"/>
        <w:jc w:val="both"/>
      </w:pPr>
      <w:r w:rsidRPr="0094764C">
        <w:t xml:space="preserve">Acquire and process </w:t>
      </w:r>
      <w:r w:rsidR="00573C98">
        <w:t>535</w:t>
      </w:r>
      <w:r w:rsidRPr="0094764C">
        <w:t xml:space="preserve"> square miles of USGS defined Quality Level 2 LiDAR, collection of hydro-breaklines, and creation of </w:t>
      </w:r>
      <w:r w:rsidR="00573C98">
        <w:t>Hydro-Flattened Digital Elevation Models</w:t>
      </w:r>
      <w:r w:rsidRPr="0094764C">
        <w:t xml:space="preserve">.  </w:t>
      </w:r>
    </w:p>
    <w:p w14:paraId="321DC7E0" w14:textId="3E4E79C2" w:rsidR="00CE2602" w:rsidRPr="0094764C" w:rsidRDefault="00CE2602" w:rsidP="00CE2602">
      <w:pPr>
        <w:pStyle w:val="ListParagraph"/>
      </w:pPr>
      <w:r w:rsidRPr="0094764C">
        <w:t>Tasks include:</w:t>
      </w:r>
    </w:p>
    <w:p w14:paraId="3B89B803" w14:textId="465E007C" w:rsidR="00CE2602" w:rsidRPr="0094764C" w:rsidRDefault="00573C98" w:rsidP="007E0C13">
      <w:pPr>
        <w:pStyle w:val="ListParagraph"/>
        <w:numPr>
          <w:ilvl w:val="0"/>
          <w:numId w:val="15"/>
        </w:numPr>
        <w:spacing w:after="0"/>
        <w:ind w:left="720"/>
      </w:pPr>
      <w:r>
        <w:t>Field Survey collection of 21</w:t>
      </w:r>
      <w:r w:rsidR="00CE2602" w:rsidRPr="0094764C">
        <w:t xml:space="preserve"> ground control points </w:t>
      </w:r>
    </w:p>
    <w:p w14:paraId="2D652A8D" w14:textId="1F4576C1" w:rsidR="00CE2602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 xml:space="preserve">Field Survey collection of </w:t>
      </w:r>
      <w:r w:rsidR="00573C98">
        <w:t>37</w:t>
      </w:r>
      <w:r w:rsidRPr="0094764C">
        <w:t xml:space="preserve"> NVA and</w:t>
      </w:r>
      <w:r w:rsidR="00573C98">
        <w:t xml:space="preserve"> 28</w:t>
      </w:r>
      <w:r w:rsidRPr="0094764C">
        <w:t xml:space="preserve"> VVA vertical accuracy check points</w:t>
      </w:r>
    </w:p>
    <w:p w14:paraId="1D1E2670" w14:textId="46E99E8F" w:rsidR="00B42861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>Aerial Acquisition of LiDAR data</w:t>
      </w:r>
    </w:p>
    <w:p w14:paraId="28B5478B" w14:textId="0B74A2A1" w:rsidR="00B42861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 xml:space="preserve">Calibration and processing LiDAR data to point cloud </w:t>
      </w:r>
    </w:p>
    <w:p w14:paraId="4D866375" w14:textId="148FA354" w:rsidR="00CE2602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>Post-processing point cloud to fully classified LAS</w:t>
      </w:r>
      <w:r w:rsidR="00573C98">
        <w:t xml:space="preserve"> </w:t>
      </w:r>
      <w:r w:rsidRPr="0094764C">
        <w:t xml:space="preserve">data (including bare earth) </w:t>
      </w:r>
    </w:p>
    <w:p w14:paraId="37A24FAE" w14:textId="600B4D93" w:rsidR="00CE2602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>Collection of breaklines for</w:t>
      </w:r>
      <w:r w:rsidR="00573C98">
        <w:t xml:space="preserve"> hydrographic features</w:t>
      </w:r>
    </w:p>
    <w:p w14:paraId="68D78752" w14:textId="657980C4" w:rsidR="00CE2602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>Creation o</w:t>
      </w:r>
      <w:r w:rsidR="00B42861" w:rsidRPr="0094764C">
        <w:t>f hydro-flattened DEMs</w:t>
      </w:r>
    </w:p>
    <w:p w14:paraId="1DC520F2" w14:textId="77777777" w:rsidR="00CE2602" w:rsidRPr="0094764C" w:rsidRDefault="00CE2602" w:rsidP="007E0C13">
      <w:pPr>
        <w:pStyle w:val="ListParagraph"/>
        <w:numPr>
          <w:ilvl w:val="0"/>
          <w:numId w:val="15"/>
        </w:numPr>
        <w:spacing w:after="0"/>
        <w:ind w:left="720"/>
      </w:pPr>
      <w:r w:rsidRPr="0094764C">
        <w:t>Independent QA/QC including vertical accuracy te</w:t>
      </w:r>
      <w:r w:rsidR="00B42861" w:rsidRPr="0094764C">
        <w:t>sting and verification</w:t>
      </w:r>
    </w:p>
    <w:p w14:paraId="08E3CFFC" w14:textId="677D96E2" w:rsidR="0007604F" w:rsidRPr="0094764C" w:rsidRDefault="00F15420" w:rsidP="007E0C13">
      <w:pPr>
        <w:pStyle w:val="ListParagraph"/>
        <w:numPr>
          <w:ilvl w:val="1"/>
          <w:numId w:val="15"/>
        </w:numPr>
        <w:spacing w:after="0"/>
        <w:ind w:left="1080"/>
      </w:pPr>
      <w:r w:rsidRPr="0094764C">
        <w:t>Visual examin</w:t>
      </w:r>
      <w:r w:rsidR="00625BC0">
        <w:t>ation of 5% for unclassified raw point cloud tiles</w:t>
      </w:r>
    </w:p>
    <w:p w14:paraId="39ABCA2A" w14:textId="6F24B126" w:rsidR="00F15420" w:rsidRPr="007A1166" w:rsidRDefault="00F15420" w:rsidP="007E0C13">
      <w:pPr>
        <w:pStyle w:val="ListParagraph"/>
        <w:numPr>
          <w:ilvl w:val="1"/>
          <w:numId w:val="15"/>
        </w:numPr>
        <w:spacing w:after="0"/>
        <w:ind w:left="1080"/>
      </w:pPr>
      <w:r w:rsidRPr="007A1166">
        <w:t>Visual examination of 20% for classified point cloud tiles and Bare Earth DEMs</w:t>
      </w:r>
    </w:p>
    <w:p w14:paraId="1E1DC045" w14:textId="77777777" w:rsidR="00CA549C" w:rsidRPr="0094764C" w:rsidRDefault="00CA549C" w:rsidP="00833F64">
      <w:pPr>
        <w:spacing w:after="0"/>
        <w:ind w:left="1800"/>
        <w:rPr>
          <w:highlight w:val="yellow"/>
        </w:rPr>
      </w:pPr>
    </w:p>
    <w:p w14:paraId="74ED868B" w14:textId="1F251CA2" w:rsidR="00C3079A" w:rsidRPr="0094764C" w:rsidRDefault="00CE2602" w:rsidP="00D50D08">
      <w:pPr>
        <w:pStyle w:val="ListParagraph"/>
        <w:jc w:val="both"/>
        <w:rPr>
          <w:highlight w:val="yellow"/>
        </w:rPr>
      </w:pPr>
      <w:r w:rsidRPr="0094764C">
        <w:t xml:space="preserve">Activities completed under this task order will comply with the USGS LiDAR Base Specifications version 1.2 for quality level 2 data, ASPRS LAS version 1.4 requirements, and </w:t>
      </w:r>
      <w:r w:rsidR="00573C98" w:rsidRPr="0094764C">
        <w:t>current</w:t>
      </w:r>
      <w:r w:rsidRPr="0094764C">
        <w:t xml:space="preserve"> FEMA Technical References </w:t>
      </w:r>
      <w:r w:rsidRPr="00D65995">
        <w:t>and Guidance documents for elevation data</w:t>
      </w:r>
      <w:r w:rsidR="000C4EF6" w:rsidRPr="00D65995">
        <w:t xml:space="preserve">.  </w:t>
      </w:r>
    </w:p>
    <w:p w14:paraId="574F68D9" w14:textId="6AB43F4C" w:rsidR="00CE2602" w:rsidRDefault="00CE2602" w:rsidP="00CE2602">
      <w:pPr>
        <w:pStyle w:val="ListParagraph"/>
      </w:pPr>
      <w:r w:rsidRPr="00DF76A0">
        <w:t>Deliverables for this task are:</w:t>
      </w:r>
    </w:p>
    <w:p w14:paraId="2587BE32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Collection Report Including Mission Planning</w:t>
      </w:r>
    </w:p>
    <w:p w14:paraId="63984E7E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Survey Report Including Ground Control Precision and Absolute Vertical Accuracy Test Results</w:t>
      </w:r>
    </w:p>
    <w:p w14:paraId="650818CE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Ground Control and Check Points Shapefiles</w:t>
      </w:r>
    </w:p>
    <w:p w14:paraId="02AC794C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 xml:space="preserve">Processing and QA/QC Reports </w:t>
      </w:r>
    </w:p>
    <w:p w14:paraId="2DB5FFA6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Indices and Project Extent Shapefiles</w:t>
      </w:r>
    </w:p>
    <w:p w14:paraId="3A1D4F23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Metadata Files in XML Format</w:t>
      </w:r>
    </w:p>
    <w:p w14:paraId="1171B54E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Raw Point Cloud Swaths</w:t>
      </w:r>
    </w:p>
    <w:p w14:paraId="52451EAB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Tiled Classified Point Cloud</w:t>
      </w:r>
    </w:p>
    <w:p w14:paraId="40B65BD7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3D Breaklines</w:t>
      </w:r>
    </w:p>
    <w:p w14:paraId="2EEE1927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Hydro-flattened DEMs</w:t>
      </w:r>
    </w:p>
    <w:p w14:paraId="7F47C308" w14:textId="77777777" w:rsidR="00341BF5" w:rsidRPr="00464E31" w:rsidRDefault="00341BF5" w:rsidP="00341BF5">
      <w:pPr>
        <w:pStyle w:val="BodyText"/>
        <w:numPr>
          <w:ilvl w:val="0"/>
          <w:numId w:val="31"/>
        </w:numPr>
        <w:ind w:right="115"/>
        <w:rPr>
          <w:rFonts w:asciiTheme="minorHAnsi" w:hAnsiTheme="minorHAnsi"/>
          <w:spacing w:val="-1"/>
        </w:rPr>
      </w:pPr>
      <w:r w:rsidRPr="00464E31">
        <w:rPr>
          <w:rFonts w:asciiTheme="minorHAnsi" w:hAnsiTheme="minorHAnsi"/>
          <w:spacing w:val="-1"/>
        </w:rPr>
        <w:t>FEMA Certificate of Compl</w:t>
      </w:r>
      <w:r>
        <w:rPr>
          <w:rFonts w:asciiTheme="minorHAnsi" w:hAnsiTheme="minorHAnsi"/>
          <w:spacing w:val="-1"/>
        </w:rPr>
        <w:t>etion,</w:t>
      </w:r>
      <w:r w:rsidRPr="00464E31">
        <w:rPr>
          <w:rFonts w:asciiTheme="minorHAnsi" w:hAnsiTheme="minorHAnsi"/>
          <w:spacing w:val="-1"/>
        </w:rPr>
        <w:t xml:space="preserve"> Terrain Metadata XML</w:t>
      </w:r>
      <w:r>
        <w:rPr>
          <w:rFonts w:asciiTheme="minorHAnsi" w:hAnsiTheme="minorHAnsi"/>
          <w:spacing w:val="-1"/>
        </w:rPr>
        <w:t>,</w:t>
      </w:r>
      <w:r w:rsidRPr="00464E31">
        <w:rPr>
          <w:rFonts w:asciiTheme="minorHAnsi" w:hAnsiTheme="minorHAnsi"/>
          <w:spacing w:val="-1"/>
        </w:rPr>
        <w:t xml:space="preserve"> and Project Narrative</w:t>
      </w:r>
    </w:p>
    <w:p w14:paraId="1FED36DB" w14:textId="54F30B70" w:rsidR="00341BF5" w:rsidRPr="00DF76A0" w:rsidRDefault="00341BF5" w:rsidP="00341BF5">
      <w:pPr>
        <w:pStyle w:val="BodyText"/>
        <w:numPr>
          <w:ilvl w:val="0"/>
          <w:numId w:val="31"/>
        </w:numPr>
        <w:ind w:right="114"/>
      </w:pPr>
      <w:r w:rsidRPr="00341BF5">
        <w:rPr>
          <w:rFonts w:asciiTheme="minorHAnsi" w:hAnsiTheme="minorHAnsi"/>
          <w:spacing w:val="-1"/>
        </w:rPr>
        <w:t>Project Independent QA/QC Report</w:t>
      </w:r>
    </w:p>
    <w:p w14:paraId="729FF1D4" w14:textId="08F82E3C" w:rsidR="0094764C" w:rsidRPr="00DF76A0" w:rsidRDefault="008761EB" w:rsidP="00761D99">
      <w:r>
        <w:br w:type="page"/>
      </w:r>
    </w:p>
    <w:p w14:paraId="521C801D" w14:textId="2EE56D6B" w:rsidR="006B24DE" w:rsidRDefault="00857B3C" w:rsidP="007A381E">
      <w:pPr>
        <w:pStyle w:val="Heading1"/>
        <w:numPr>
          <w:ilvl w:val="0"/>
          <w:numId w:val="29"/>
        </w:numPr>
      </w:pPr>
      <w:r>
        <w:lastRenderedPageBreak/>
        <w:t xml:space="preserve"> </w:t>
      </w:r>
      <w:bookmarkStart w:id="9" w:name="_Toc509912000"/>
      <w:r w:rsidR="006B24DE">
        <w:t>Issues</w:t>
      </w:r>
      <w:bookmarkEnd w:id="9"/>
    </w:p>
    <w:p w14:paraId="2A6BAC4E" w14:textId="77777777" w:rsidR="006B24DE" w:rsidRDefault="00423B50" w:rsidP="006B24DE">
      <w:pPr>
        <w:pStyle w:val="ListParagraph"/>
        <w:spacing w:after="0"/>
        <w:rPr>
          <w:rFonts w:eastAsia="Calibri" w:cs="Times New Roman"/>
          <w:szCs w:val="24"/>
        </w:rPr>
      </w:pPr>
      <w:r w:rsidRPr="0090715E">
        <w:rPr>
          <w:rFonts w:eastAsia="Calibri" w:cs="Times New Roman"/>
          <w:szCs w:val="24"/>
        </w:rPr>
        <w:t>None.</w:t>
      </w:r>
    </w:p>
    <w:p w14:paraId="479D570D" w14:textId="38C3F981" w:rsidR="00383F24" w:rsidRDefault="00857B3C" w:rsidP="00B909B1">
      <w:pPr>
        <w:pStyle w:val="Heading1"/>
        <w:numPr>
          <w:ilvl w:val="0"/>
          <w:numId w:val="29"/>
        </w:numPr>
        <w:spacing w:before="240"/>
        <w:ind w:left="461" w:hanging="461"/>
      </w:pPr>
      <w:r>
        <w:t xml:space="preserve"> </w:t>
      </w:r>
      <w:bookmarkStart w:id="10" w:name="_Toc509912001"/>
      <w:r w:rsidR="006B24DE">
        <w:t>Information for the Next Mapping Partner</w:t>
      </w:r>
      <w:bookmarkEnd w:id="10"/>
    </w:p>
    <w:p w14:paraId="7A216A2E" w14:textId="7E20F5B6" w:rsidR="0012704D" w:rsidRDefault="0012704D" w:rsidP="007E0C13">
      <w:pPr>
        <w:pStyle w:val="ListParagraph"/>
        <w:jc w:val="both"/>
      </w:pPr>
      <w:r>
        <w:t xml:space="preserve">The </w:t>
      </w:r>
      <w:r w:rsidR="00E17A90">
        <w:t>Branch County, MI</w:t>
      </w:r>
      <w:r w:rsidR="00423B50">
        <w:t xml:space="preserve"> project</w:t>
      </w:r>
      <w:r w:rsidR="00760016">
        <w:t xml:space="preserve"> </w:t>
      </w:r>
      <w:r w:rsidR="0009428B">
        <w:t>covers the entire county</w:t>
      </w:r>
      <w:r w:rsidR="00423B50">
        <w:t>.</w:t>
      </w:r>
      <w:r w:rsidR="00CA3BEE">
        <w:t xml:space="preserve">  This project included LiDAR Acquisition, Post Processing, and LiDAR derived product development.  Point cloud data is composed of LAS version 1.4 unclassified swaths and classified tiles</w:t>
      </w:r>
      <w:r w:rsidR="00383F24">
        <w:t xml:space="preserve">.  All data </w:t>
      </w:r>
      <w:r w:rsidR="00CE40B1">
        <w:t>collected has</w:t>
      </w:r>
      <w:r w:rsidR="00383F24">
        <w:t xml:space="preserve"> the following spatial reference information:</w:t>
      </w:r>
    </w:p>
    <w:p w14:paraId="6EF36C75" w14:textId="77777777" w:rsidR="00383F24" w:rsidRDefault="00383F24" w:rsidP="00383F24">
      <w:pPr>
        <w:pStyle w:val="ListParagraph"/>
        <w:ind w:left="1440"/>
      </w:pPr>
    </w:p>
    <w:p w14:paraId="0B94A730" w14:textId="335AED57" w:rsidR="00383F24" w:rsidRPr="00383F24" w:rsidRDefault="00341BF5" w:rsidP="007E0C13">
      <w:pPr>
        <w:pStyle w:val="ListParagraph"/>
        <w:ind w:left="360"/>
      </w:pPr>
      <w:r w:rsidRPr="00464E31">
        <w:rPr>
          <w:spacing w:val="-1"/>
        </w:rPr>
        <w:t>Coordinate System:</w:t>
      </w:r>
      <w:r w:rsidR="00383F24" w:rsidRPr="00383F24">
        <w:t xml:space="preserve"> </w:t>
      </w:r>
      <w:r w:rsidR="0009428B" w:rsidRPr="0009428B">
        <w:t>Michigan State Plane South, FIPS 2113</w:t>
      </w:r>
    </w:p>
    <w:p w14:paraId="2C4B2F05" w14:textId="77777777" w:rsidR="0009428B" w:rsidRDefault="00383F24" w:rsidP="007E0C13">
      <w:pPr>
        <w:pStyle w:val="ListParagraph"/>
        <w:ind w:left="360"/>
      </w:pPr>
      <w:r w:rsidRPr="00383F24">
        <w:t xml:space="preserve">Linear units: </w:t>
      </w:r>
      <w:r w:rsidR="0009428B">
        <w:rPr>
          <w:spacing w:val="-1"/>
        </w:rPr>
        <w:t xml:space="preserve">International </w:t>
      </w:r>
      <w:r w:rsidR="0009428B" w:rsidRPr="00464E31">
        <w:rPr>
          <w:spacing w:val="-1"/>
        </w:rPr>
        <w:t>Feet</w:t>
      </w:r>
      <w:r w:rsidR="0009428B" w:rsidRPr="00383F24">
        <w:t xml:space="preserve"> </w:t>
      </w:r>
    </w:p>
    <w:p w14:paraId="568B86EF" w14:textId="549D4FC7" w:rsidR="00383F24" w:rsidRPr="00383F24" w:rsidRDefault="00383F24" w:rsidP="007E0C13">
      <w:pPr>
        <w:pStyle w:val="ListParagraph"/>
        <w:ind w:left="360"/>
      </w:pPr>
      <w:r w:rsidRPr="00383F24">
        <w:t>Horizontal Datum: North American Datum 1983</w:t>
      </w:r>
      <w:r w:rsidR="0009428B">
        <w:t xml:space="preserve"> (</w:t>
      </w:r>
      <w:r>
        <w:t>2011)</w:t>
      </w:r>
    </w:p>
    <w:p w14:paraId="41C47523" w14:textId="77777777" w:rsidR="00383F24" w:rsidRPr="00383F24" w:rsidRDefault="00383F24" w:rsidP="007E0C13">
      <w:pPr>
        <w:pStyle w:val="ListParagraph"/>
        <w:ind w:left="360"/>
      </w:pPr>
      <w:r w:rsidRPr="00383F24">
        <w:t>Vertical Datum: North American Vertical Datum of 1988</w:t>
      </w:r>
      <w:r>
        <w:t xml:space="preserve"> (Geoid 12B)</w:t>
      </w:r>
    </w:p>
    <w:p w14:paraId="28CE924A" w14:textId="6CCEDE6A" w:rsidR="00383F24" w:rsidRDefault="00383F24" w:rsidP="007E0C13">
      <w:pPr>
        <w:pStyle w:val="ListParagraph"/>
        <w:ind w:left="360"/>
        <w:contextualSpacing w:val="0"/>
      </w:pPr>
      <w:r w:rsidRPr="00383F24">
        <w:t xml:space="preserve">Vertical units: </w:t>
      </w:r>
      <w:r w:rsidR="0009428B">
        <w:rPr>
          <w:spacing w:val="-1"/>
        </w:rPr>
        <w:t xml:space="preserve">International </w:t>
      </w:r>
      <w:r w:rsidR="0009428B" w:rsidRPr="00464E31">
        <w:rPr>
          <w:spacing w:val="-1"/>
        </w:rPr>
        <w:t>Feet</w:t>
      </w:r>
    </w:p>
    <w:p w14:paraId="28DCE72D" w14:textId="77CF25B4" w:rsidR="00F8102D" w:rsidRPr="00B909B1" w:rsidRDefault="00F8102D" w:rsidP="00B909B1">
      <w:pPr>
        <w:pStyle w:val="Heading2"/>
      </w:pPr>
      <w:bookmarkStart w:id="11" w:name="_Toc509912002"/>
      <w:r>
        <w:t xml:space="preserve">4.1 </w:t>
      </w:r>
      <w:r w:rsidR="00950AB1">
        <w:t>Vertical Accuracy</w:t>
      </w:r>
      <w:bookmarkEnd w:id="11"/>
    </w:p>
    <w:p w14:paraId="5E9EFB88" w14:textId="2FA970B2" w:rsidR="00ED3B49" w:rsidRDefault="00ED3B49" w:rsidP="00E4058F">
      <w:pPr>
        <w:spacing w:after="0"/>
        <w:jc w:val="both"/>
      </w:pPr>
      <w:r>
        <w:t xml:space="preserve">USGS Quality Level 2 </w:t>
      </w:r>
      <w:r w:rsidR="00E4058F">
        <w:t xml:space="preserve">Absolute </w:t>
      </w:r>
      <w:r>
        <w:t xml:space="preserve">Vertical Accuracy Requirements as published in the LiDAR Base Specifications version 1.2:          </w:t>
      </w:r>
      <w:r>
        <w:tab/>
        <w:t xml:space="preserve">  </w:t>
      </w:r>
    </w:p>
    <w:p w14:paraId="6C919454" w14:textId="77777777" w:rsidR="00E4058F" w:rsidRDefault="00E4058F" w:rsidP="00E4058F">
      <w:pPr>
        <w:spacing w:after="0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3780"/>
      </w:tblGrid>
      <w:tr w:rsidR="00950AB1" w:rsidRPr="00950AB1" w14:paraId="076BE4A6" w14:textId="77777777" w:rsidTr="00D50D08">
        <w:trPr>
          <w:trHeight w:hRule="exact" w:val="300"/>
          <w:jc w:val="center"/>
        </w:trPr>
        <w:tc>
          <w:tcPr>
            <w:tcW w:w="4770" w:type="dxa"/>
            <w:shd w:val="clear" w:color="auto" w:fill="BFBFBF"/>
          </w:tcPr>
          <w:p w14:paraId="2D822BBF" w14:textId="77777777" w:rsidR="00950AB1" w:rsidRPr="00950AB1" w:rsidRDefault="00950AB1" w:rsidP="00950AB1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12" w:name="_Hlk509830180"/>
            <w:r w:rsidRPr="00950AB1">
              <w:rPr>
                <w:rFonts w:ascii="Calibri" w:eastAsia="Calibri" w:hAnsi="Calibri" w:cs="Times New Roman"/>
                <w:b/>
                <w:spacing w:val="-1"/>
                <w:sz w:val="20"/>
                <w:szCs w:val="20"/>
              </w:rPr>
              <w:t>LiDAR Swath NVA Summary</w:t>
            </w:r>
            <w:r w:rsidRPr="00950AB1">
              <w:rPr>
                <w:rFonts w:ascii="Calibri" w:eastAsia="Calibri" w:hAnsi="Calibri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Times New Roman"/>
                <w:b/>
                <w:spacing w:val="-1"/>
                <w:sz w:val="20"/>
                <w:szCs w:val="20"/>
              </w:rPr>
              <w:t>Statistics</w:t>
            </w:r>
          </w:p>
        </w:tc>
        <w:tc>
          <w:tcPr>
            <w:tcW w:w="3780" w:type="dxa"/>
            <w:shd w:val="clear" w:color="auto" w:fill="BFBFBF"/>
          </w:tcPr>
          <w:p w14:paraId="75D4FFF2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48" w:after="0" w:line="240" w:lineRule="auto"/>
              <w:ind w:left="26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b/>
                <w:spacing w:val="-8"/>
                <w:sz w:val="20"/>
                <w:szCs w:val="20"/>
              </w:rPr>
              <w:t>T</w:t>
            </w:r>
            <w:r w:rsidRPr="00950AB1">
              <w:rPr>
                <w:rFonts w:ascii="Calibri" w:eastAsia="Calibri" w:hAnsi="Calibri" w:cs="Verdana"/>
                <w:b/>
                <w:spacing w:val="-9"/>
                <w:sz w:val="20"/>
                <w:szCs w:val="20"/>
              </w:rPr>
              <w:t>e</w:t>
            </w:r>
            <w:r w:rsidRPr="00950AB1">
              <w:rPr>
                <w:rFonts w:ascii="Calibri" w:eastAsia="Calibri" w:hAnsi="Calibri" w:cs="Verdana"/>
                <w:b/>
                <w:spacing w:val="-8"/>
                <w:sz w:val="20"/>
                <w:szCs w:val="20"/>
              </w:rPr>
              <w:t>st</w:t>
            </w:r>
            <w:r w:rsidRPr="00950AB1">
              <w:rPr>
                <w:rFonts w:ascii="Calibri" w:eastAsia="Calibri" w:hAnsi="Calibri" w:cs="Verdana"/>
                <w:b/>
                <w:spacing w:val="-23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b/>
                <w:spacing w:val="-9"/>
                <w:sz w:val="20"/>
                <w:szCs w:val="20"/>
              </w:rPr>
              <w:t>R</w:t>
            </w:r>
            <w:r w:rsidRPr="00950AB1">
              <w:rPr>
                <w:rFonts w:ascii="Calibri" w:eastAsia="Calibri" w:hAnsi="Calibri" w:cs="Verdana"/>
                <w:b/>
                <w:spacing w:val="-10"/>
                <w:sz w:val="20"/>
                <w:szCs w:val="20"/>
              </w:rPr>
              <w:t>esu</w:t>
            </w:r>
            <w:r w:rsidRPr="00950AB1">
              <w:rPr>
                <w:rFonts w:ascii="Calibri" w:eastAsia="Calibri" w:hAnsi="Calibri" w:cs="Verdana"/>
                <w:b/>
                <w:spacing w:val="-9"/>
                <w:sz w:val="20"/>
                <w:szCs w:val="20"/>
              </w:rPr>
              <w:t>lt</w:t>
            </w:r>
            <w:r w:rsidRPr="00950AB1">
              <w:rPr>
                <w:rFonts w:ascii="Calibri" w:eastAsia="Calibri" w:hAnsi="Calibri" w:cs="Verdana"/>
                <w:b/>
                <w:spacing w:val="-10"/>
                <w:sz w:val="20"/>
                <w:szCs w:val="20"/>
              </w:rPr>
              <w:t>s</w:t>
            </w:r>
            <w:r w:rsidRPr="00950AB1">
              <w:rPr>
                <w:rFonts w:ascii="Calibri" w:eastAsia="Calibri" w:hAnsi="Calibri" w:cs="Verdana"/>
                <w:b/>
                <w:spacing w:val="-24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b/>
                <w:spacing w:val="-4"/>
                <w:sz w:val="20"/>
                <w:szCs w:val="20"/>
              </w:rPr>
              <w:t>(</w:t>
            </w:r>
            <w:r w:rsidRPr="00950AB1">
              <w:rPr>
                <w:rFonts w:ascii="Calibri" w:eastAsia="Calibri" w:hAnsi="Calibri" w:cs="Verdana"/>
                <w:b/>
                <w:spacing w:val="-5"/>
                <w:sz w:val="20"/>
                <w:szCs w:val="20"/>
              </w:rPr>
              <w:t xml:space="preserve">International </w:t>
            </w:r>
            <w:r w:rsidRPr="00950AB1">
              <w:rPr>
                <w:rFonts w:ascii="Calibri" w:eastAsia="Calibri" w:hAnsi="Calibri" w:cs="Verdana"/>
                <w:b/>
                <w:spacing w:val="-13"/>
                <w:sz w:val="20"/>
                <w:szCs w:val="20"/>
              </w:rPr>
              <w:t>Feet</w:t>
            </w:r>
            <w:r w:rsidRPr="00950AB1">
              <w:rPr>
                <w:rFonts w:ascii="Calibri" w:eastAsia="Calibri" w:hAnsi="Calibri" w:cs="Verdana"/>
                <w:b/>
                <w:spacing w:val="-14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b/>
                <w:spacing w:val="-1"/>
                <w:sz w:val="20"/>
                <w:szCs w:val="20"/>
              </w:rPr>
              <w:t>/Meter)</w:t>
            </w:r>
          </w:p>
        </w:tc>
      </w:tr>
      <w:tr w:rsidR="00950AB1" w:rsidRPr="00950AB1" w14:paraId="1D48AC47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512F5FFD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Number</w:t>
            </w:r>
            <w:r w:rsidRPr="00950AB1">
              <w:rPr>
                <w:rFonts w:ascii="Calibri" w:eastAsia="Calibri" w:hAnsi="Calibri" w:cs="Verdana"/>
                <w:spacing w:val="-8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of</w:t>
            </w:r>
            <w:r w:rsidRPr="00950AB1">
              <w:rPr>
                <w:rFonts w:ascii="Calibri" w:eastAsia="Calibri" w:hAnsi="Calibri" w:cs="Verdana"/>
                <w:spacing w:val="-7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Check</w:t>
            </w:r>
            <w:r w:rsidRPr="00950AB1">
              <w:rPr>
                <w:rFonts w:ascii="Calibri" w:eastAsia="Calibri" w:hAnsi="Calibri" w:cs="Verdana"/>
                <w:spacing w:val="-6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Points</w:t>
            </w:r>
          </w:p>
        </w:tc>
        <w:tc>
          <w:tcPr>
            <w:tcW w:w="3780" w:type="dxa"/>
          </w:tcPr>
          <w:p w14:paraId="218242C8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33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z w:val="20"/>
                <w:szCs w:val="20"/>
              </w:rPr>
              <w:t>37</w:t>
            </w:r>
          </w:p>
        </w:tc>
      </w:tr>
      <w:tr w:rsidR="00950AB1" w:rsidRPr="00950AB1" w14:paraId="3EDABAE4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0805ED6C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z w:val="20"/>
                <w:szCs w:val="20"/>
              </w:rPr>
              <w:t>Points</w:t>
            </w:r>
            <w:r w:rsidRPr="00950AB1">
              <w:rPr>
                <w:rFonts w:ascii="Calibri" w:eastAsia="Calibri" w:hAnsi="Calibri" w:cs="Verdana"/>
                <w:spacing w:val="-11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with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Swath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Coverage and required accuracy</w:t>
            </w:r>
          </w:p>
        </w:tc>
        <w:tc>
          <w:tcPr>
            <w:tcW w:w="3780" w:type="dxa"/>
          </w:tcPr>
          <w:p w14:paraId="6672029A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33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z w:val="20"/>
                <w:szCs w:val="20"/>
              </w:rPr>
              <w:t>37</w:t>
            </w:r>
          </w:p>
        </w:tc>
      </w:tr>
      <w:tr w:rsidR="00950AB1" w:rsidRPr="00950AB1" w14:paraId="63366E3B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68409AB6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Average</w:t>
            </w:r>
            <w:r w:rsidRPr="00950AB1">
              <w:rPr>
                <w:rFonts w:ascii="Calibri" w:eastAsia="Calibri" w:hAnsi="Calibri" w:cs="Verdana"/>
                <w:spacing w:val="-8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Z</w:t>
            </w:r>
            <w:r w:rsidRPr="00950AB1">
              <w:rPr>
                <w:rFonts w:ascii="Calibri" w:eastAsia="Calibri" w:hAnsi="Calibri" w:cs="Verdana"/>
                <w:spacing w:val="-6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Error</w:t>
            </w:r>
          </w:p>
        </w:tc>
        <w:tc>
          <w:tcPr>
            <w:tcW w:w="3780" w:type="dxa"/>
          </w:tcPr>
          <w:p w14:paraId="117C28D0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42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Times New Roman"/>
                <w:sz w:val="20"/>
                <w:szCs w:val="20"/>
              </w:rPr>
              <w:t>0.04/0.01</w:t>
            </w:r>
          </w:p>
        </w:tc>
      </w:tr>
      <w:tr w:rsidR="00950AB1" w:rsidRPr="00950AB1" w14:paraId="68992242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3A2FAFE4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z w:val="20"/>
                <w:szCs w:val="20"/>
              </w:rPr>
              <w:t>Maximum</w:t>
            </w:r>
            <w:r w:rsidRPr="00950AB1">
              <w:rPr>
                <w:rFonts w:ascii="Calibri" w:eastAsia="Calibri" w:hAnsi="Calibri" w:cs="Verdana"/>
                <w:spacing w:val="-10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Z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Error</w:t>
            </w:r>
          </w:p>
        </w:tc>
        <w:tc>
          <w:tcPr>
            <w:tcW w:w="3780" w:type="dxa"/>
          </w:tcPr>
          <w:p w14:paraId="527B8B3A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42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Times New Roman"/>
                <w:sz w:val="20"/>
                <w:szCs w:val="20"/>
              </w:rPr>
              <w:t>0.27/0.08</w:t>
            </w:r>
          </w:p>
        </w:tc>
      </w:tr>
      <w:tr w:rsidR="00950AB1" w:rsidRPr="00950AB1" w14:paraId="37D5470D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55C43749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z w:val="20"/>
                <w:szCs w:val="20"/>
              </w:rPr>
              <w:t>Minimum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Z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Error</w:t>
            </w:r>
          </w:p>
        </w:tc>
        <w:tc>
          <w:tcPr>
            <w:tcW w:w="3780" w:type="dxa"/>
          </w:tcPr>
          <w:p w14:paraId="6389C847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33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Times New Roman"/>
                <w:sz w:val="20"/>
                <w:szCs w:val="20"/>
              </w:rPr>
              <w:t>-0.22/-0.07</w:t>
            </w:r>
          </w:p>
        </w:tc>
      </w:tr>
      <w:tr w:rsidR="00950AB1" w:rsidRPr="00950AB1" w14:paraId="4E374233" w14:textId="77777777" w:rsidTr="00D50D08">
        <w:trPr>
          <w:trHeight w:hRule="exact" w:val="294"/>
          <w:jc w:val="center"/>
        </w:trPr>
        <w:tc>
          <w:tcPr>
            <w:tcW w:w="4770" w:type="dxa"/>
            <w:shd w:val="clear" w:color="auto" w:fill="BFBFBF"/>
          </w:tcPr>
          <w:p w14:paraId="0C138FD9" w14:textId="77777777" w:rsidR="00950AB1" w:rsidRPr="00950AB1" w:rsidRDefault="00950AB1" w:rsidP="00950AB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BFBFBF"/>
          </w:tcPr>
          <w:p w14:paraId="65822E4E" w14:textId="77777777" w:rsidR="00950AB1" w:rsidRPr="00950AB1" w:rsidRDefault="00950AB1" w:rsidP="00950AB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AB1" w:rsidRPr="00950AB1" w14:paraId="618819F4" w14:textId="77777777" w:rsidTr="00D50D08">
        <w:trPr>
          <w:trHeight w:hRule="exact" w:val="306"/>
          <w:jc w:val="center"/>
        </w:trPr>
        <w:tc>
          <w:tcPr>
            <w:tcW w:w="4770" w:type="dxa"/>
          </w:tcPr>
          <w:p w14:paraId="38F36C87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NVA</w:t>
            </w:r>
            <w:r w:rsidRPr="00950AB1">
              <w:rPr>
                <w:rFonts w:ascii="Calibri" w:eastAsia="Calibri" w:hAnsi="Calibri" w:cs="Verdana"/>
                <w:spacing w:val="-12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RMSEz &lt;= 10 cm</w:t>
            </w:r>
          </w:p>
        </w:tc>
        <w:tc>
          <w:tcPr>
            <w:tcW w:w="3780" w:type="dxa"/>
          </w:tcPr>
          <w:p w14:paraId="6D975440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1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0.108/0.033</w:t>
            </w:r>
            <w:r w:rsidRPr="00950AB1">
              <w:rPr>
                <w:rFonts w:ascii="Calibri" w:eastAsia="Calibri" w:hAnsi="Calibri" w:cs="Verdana"/>
                <w:spacing w:val="-17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b/>
                <w:spacing w:val="-1"/>
                <w:sz w:val="20"/>
                <w:szCs w:val="20"/>
              </w:rPr>
              <w:t>PASS</w:t>
            </w:r>
          </w:p>
        </w:tc>
      </w:tr>
      <w:tr w:rsidR="00950AB1" w:rsidRPr="00950AB1" w14:paraId="50348AB3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3D588579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0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NVA</w:t>
            </w:r>
            <w:r w:rsidRPr="00950AB1">
              <w:rPr>
                <w:rFonts w:ascii="Calibri" w:eastAsia="Calibri" w:hAnsi="Calibri" w:cs="Verdana"/>
                <w:spacing w:val="-10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AccuracyZ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&lt;= 19.6 cm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at</w:t>
            </w:r>
            <w:r w:rsidRPr="00950AB1">
              <w:rPr>
                <w:rFonts w:ascii="Calibri" w:eastAsia="Calibri" w:hAnsi="Calibri" w:cs="Verdana"/>
                <w:spacing w:val="-9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z w:val="20"/>
                <w:szCs w:val="20"/>
              </w:rPr>
              <w:t>95%</w:t>
            </w:r>
            <w:r w:rsidRPr="00950AB1">
              <w:rPr>
                <w:rFonts w:ascii="Calibri" w:eastAsia="Calibri" w:hAnsi="Calibri" w:cs="Verdana"/>
                <w:spacing w:val="-8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Confidence</w:t>
            </w:r>
          </w:p>
        </w:tc>
        <w:tc>
          <w:tcPr>
            <w:tcW w:w="3780" w:type="dxa"/>
          </w:tcPr>
          <w:p w14:paraId="08055903" w14:textId="77777777" w:rsidR="00950AB1" w:rsidRPr="00950AB1" w:rsidRDefault="00950AB1" w:rsidP="00950AB1">
            <w:pPr>
              <w:widowControl w:val="0"/>
              <w:kinsoku w:val="0"/>
              <w:overflowPunct w:val="0"/>
              <w:spacing w:before="28" w:after="0" w:line="240" w:lineRule="auto"/>
              <w:ind w:left="112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0AB1">
              <w:rPr>
                <w:rFonts w:ascii="Calibri" w:eastAsia="Calibri" w:hAnsi="Calibri" w:cs="Verdana"/>
                <w:spacing w:val="-1"/>
                <w:sz w:val="20"/>
                <w:szCs w:val="20"/>
              </w:rPr>
              <w:t>0.212/0.064</w:t>
            </w:r>
            <w:r w:rsidRPr="00950AB1">
              <w:rPr>
                <w:rFonts w:ascii="Calibri" w:eastAsia="Calibri" w:hAnsi="Calibri" w:cs="Verdana"/>
                <w:spacing w:val="-17"/>
                <w:sz w:val="20"/>
                <w:szCs w:val="20"/>
              </w:rPr>
              <w:t xml:space="preserve"> </w:t>
            </w:r>
            <w:r w:rsidRPr="00950AB1">
              <w:rPr>
                <w:rFonts w:ascii="Calibri" w:eastAsia="Calibri" w:hAnsi="Calibri" w:cs="Verdana"/>
                <w:b/>
                <w:spacing w:val="-1"/>
                <w:sz w:val="20"/>
                <w:szCs w:val="20"/>
              </w:rPr>
              <w:t>PASS</w:t>
            </w:r>
          </w:p>
        </w:tc>
      </w:tr>
      <w:bookmarkEnd w:id="12"/>
    </w:tbl>
    <w:p w14:paraId="17200FD5" w14:textId="77777777" w:rsidR="00E4058F" w:rsidRDefault="00E4058F" w:rsidP="00E4058F">
      <w:pPr>
        <w:spacing w:after="0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3780"/>
      </w:tblGrid>
      <w:tr w:rsidR="002B77F1" w:rsidRPr="002B77F1" w14:paraId="74D936E7" w14:textId="77777777" w:rsidTr="00D50D08">
        <w:trPr>
          <w:trHeight w:hRule="exact" w:val="300"/>
          <w:jc w:val="center"/>
        </w:trPr>
        <w:tc>
          <w:tcPr>
            <w:tcW w:w="4770" w:type="dxa"/>
            <w:shd w:val="clear" w:color="auto" w:fill="BFBFBF" w:themeFill="background1" w:themeFillShade="BF"/>
          </w:tcPr>
          <w:p w14:paraId="1EA6D6E9" w14:textId="77777777" w:rsidR="002B77F1" w:rsidRPr="00E4058F" w:rsidRDefault="002B77F1" w:rsidP="002B77F1">
            <w:pPr>
              <w:rPr>
                <w:b/>
                <w:sz w:val="20"/>
                <w:szCs w:val="20"/>
              </w:rPr>
            </w:pPr>
            <w:r w:rsidRPr="00E4058F">
              <w:rPr>
                <w:b/>
                <w:sz w:val="20"/>
                <w:szCs w:val="20"/>
              </w:rPr>
              <w:t>Bare Earth NVA Summary Statistics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018F6318" w14:textId="77777777" w:rsidR="002B77F1" w:rsidRPr="00E4058F" w:rsidRDefault="002B77F1" w:rsidP="00E4058F">
            <w:pPr>
              <w:jc w:val="center"/>
              <w:rPr>
                <w:b/>
                <w:sz w:val="20"/>
                <w:szCs w:val="20"/>
              </w:rPr>
            </w:pPr>
            <w:r w:rsidRPr="00E4058F">
              <w:rPr>
                <w:b/>
                <w:sz w:val="20"/>
                <w:szCs w:val="20"/>
              </w:rPr>
              <w:t>Test Results (International Feet /Meter)</w:t>
            </w:r>
          </w:p>
        </w:tc>
      </w:tr>
      <w:tr w:rsidR="002B77F1" w:rsidRPr="002B77F1" w14:paraId="79F7E667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4C1C3C0C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Number of Check Points</w:t>
            </w:r>
          </w:p>
        </w:tc>
        <w:tc>
          <w:tcPr>
            <w:tcW w:w="3780" w:type="dxa"/>
          </w:tcPr>
          <w:p w14:paraId="72386E99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37</w:t>
            </w:r>
          </w:p>
        </w:tc>
      </w:tr>
      <w:tr w:rsidR="002B77F1" w:rsidRPr="002B77F1" w14:paraId="5CA36146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364F0351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Points with Swath Coverage and required accuracy</w:t>
            </w:r>
          </w:p>
        </w:tc>
        <w:tc>
          <w:tcPr>
            <w:tcW w:w="3780" w:type="dxa"/>
          </w:tcPr>
          <w:p w14:paraId="103F04AF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37</w:t>
            </w:r>
          </w:p>
        </w:tc>
      </w:tr>
      <w:tr w:rsidR="002B77F1" w:rsidRPr="002B77F1" w14:paraId="6CCC3976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02D7A103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Average Z Error</w:t>
            </w:r>
          </w:p>
        </w:tc>
        <w:tc>
          <w:tcPr>
            <w:tcW w:w="3780" w:type="dxa"/>
          </w:tcPr>
          <w:p w14:paraId="254896C1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-0.04/-0.01</w:t>
            </w:r>
          </w:p>
        </w:tc>
      </w:tr>
      <w:tr w:rsidR="002B77F1" w:rsidRPr="002B77F1" w14:paraId="6E152F5B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71C5626B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Maximum Z Error</w:t>
            </w:r>
          </w:p>
        </w:tc>
        <w:tc>
          <w:tcPr>
            <w:tcW w:w="3780" w:type="dxa"/>
          </w:tcPr>
          <w:p w14:paraId="3C5D9B22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0.17/0.05</w:t>
            </w:r>
          </w:p>
        </w:tc>
      </w:tr>
      <w:tr w:rsidR="002B77F1" w:rsidRPr="002B77F1" w14:paraId="0DF6394D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3DC6A541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Minimum Z Error</w:t>
            </w:r>
          </w:p>
        </w:tc>
        <w:tc>
          <w:tcPr>
            <w:tcW w:w="3780" w:type="dxa"/>
          </w:tcPr>
          <w:p w14:paraId="08BE775F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-0.20/-0.06</w:t>
            </w:r>
          </w:p>
        </w:tc>
      </w:tr>
      <w:tr w:rsidR="002B77F1" w:rsidRPr="002B77F1" w14:paraId="2E089145" w14:textId="77777777" w:rsidTr="00D50D08">
        <w:trPr>
          <w:trHeight w:hRule="exact" w:val="294"/>
          <w:jc w:val="center"/>
        </w:trPr>
        <w:tc>
          <w:tcPr>
            <w:tcW w:w="4770" w:type="dxa"/>
            <w:shd w:val="clear" w:color="auto" w:fill="BFBFBF" w:themeFill="background1" w:themeFillShade="BF"/>
          </w:tcPr>
          <w:p w14:paraId="3A0104E2" w14:textId="77777777" w:rsidR="002B77F1" w:rsidRPr="00E4058F" w:rsidRDefault="002B77F1" w:rsidP="002B77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14:paraId="542517A2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</w:p>
        </w:tc>
      </w:tr>
      <w:tr w:rsidR="002B77F1" w:rsidRPr="002B77F1" w14:paraId="51B72874" w14:textId="77777777" w:rsidTr="00D50D08">
        <w:trPr>
          <w:trHeight w:hRule="exact" w:val="306"/>
          <w:jc w:val="center"/>
        </w:trPr>
        <w:tc>
          <w:tcPr>
            <w:tcW w:w="4770" w:type="dxa"/>
          </w:tcPr>
          <w:p w14:paraId="19B9E1BB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NVA RMSEz &lt;= 10 cm</w:t>
            </w:r>
          </w:p>
        </w:tc>
        <w:tc>
          <w:tcPr>
            <w:tcW w:w="3780" w:type="dxa"/>
          </w:tcPr>
          <w:p w14:paraId="0B15785C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 xml:space="preserve">0.092/0.028 </w:t>
            </w:r>
            <w:r w:rsidRPr="00E4058F">
              <w:rPr>
                <w:b/>
                <w:sz w:val="20"/>
                <w:szCs w:val="20"/>
              </w:rPr>
              <w:t>PASS</w:t>
            </w:r>
          </w:p>
        </w:tc>
      </w:tr>
      <w:tr w:rsidR="002B77F1" w:rsidRPr="002B77F1" w14:paraId="5574192A" w14:textId="77777777" w:rsidTr="00D50D08">
        <w:trPr>
          <w:trHeight w:hRule="exact" w:val="300"/>
          <w:jc w:val="center"/>
        </w:trPr>
        <w:tc>
          <w:tcPr>
            <w:tcW w:w="4770" w:type="dxa"/>
          </w:tcPr>
          <w:p w14:paraId="7A97CB78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NVA AccuracyZ &lt;= 19.6 cm at 95% Confidence</w:t>
            </w:r>
          </w:p>
        </w:tc>
        <w:tc>
          <w:tcPr>
            <w:tcW w:w="3780" w:type="dxa"/>
          </w:tcPr>
          <w:p w14:paraId="2C65B8ED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 xml:space="preserve">0.180/0.055 </w:t>
            </w:r>
            <w:r w:rsidRPr="00E4058F">
              <w:rPr>
                <w:b/>
                <w:sz w:val="20"/>
                <w:szCs w:val="20"/>
              </w:rPr>
              <w:t>PASS</w:t>
            </w:r>
          </w:p>
        </w:tc>
      </w:tr>
    </w:tbl>
    <w:p w14:paraId="70DDA1FC" w14:textId="77777777" w:rsidR="00E4058F" w:rsidRDefault="00E4058F" w:rsidP="00857B3C"/>
    <w:p w14:paraId="76C5BFD5" w14:textId="12552EF0" w:rsidR="00E4058F" w:rsidRDefault="00E4058F" w:rsidP="00E4058F">
      <w:pPr>
        <w:spacing w:after="0"/>
        <w:ind w:left="360"/>
      </w:pPr>
    </w:p>
    <w:p w14:paraId="68F67198" w14:textId="77777777" w:rsidR="00E4058F" w:rsidRDefault="00E4058F" w:rsidP="00E4058F">
      <w:pPr>
        <w:spacing w:after="0"/>
        <w:ind w:left="360"/>
      </w:pPr>
    </w:p>
    <w:p w14:paraId="4AFD9F90" w14:textId="77777777" w:rsidR="00E4058F" w:rsidRDefault="00E4058F" w:rsidP="00E4058F">
      <w:pPr>
        <w:spacing w:after="0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870"/>
      </w:tblGrid>
      <w:tr w:rsidR="002B77F1" w:rsidRPr="002B77F1" w14:paraId="22F956FF" w14:textId="77777777" w:rsidTr="00D50D08">
        <w:trPr>
          <w:trHeight w:hRule="exact" w:val="300"/>
          <w:jc w:val="center"/>
        </w:trPr>
        <w:tc>
          <w:tcPr>
            <w:tcW w:w="4680" w:type="dxa"/>
            <w:shd w:val="clear" w:color="auto" w:fill="BFBFBF" w:themeFill="background1" w:themeFillShade="BF"/>
          </w:tcPr>
          <w:p w14:paraId="4F176188" w14:textId="77777777" w:rsidR="002B77F1" w:rsidRPr="002B77F1" w:rsidRDefault="002B77F1" w:rsidP="002B77F1">
            <w:pPr>
              <w:rPr>
                <w:b/>
              </w:rPr>
            </w:pPr>
            <w:r w:rsidRPr="002B77F1">
              <w:rPr>
                <w:b/>
              </w:rPr>
              <w:t>Bare Earth VVA Summary Statistics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4F058CDA" w14:textId="77777777" w:rsidR="002B77F1" w:rsidRPr="002B77F1" w:rsidRDefault="002B77F1" w:rsidP="00E4058F">
            <w:pPr>
              <w:jc w:val="center"/>
              <w:rPr>
                <w:b/>
              </w:rPr>
            </w:pPr>
            <w:r w:rsidRPr="002B77F1">
              <w:rPr>
                <w:b/>
              </w:rPr>
              <w:t>Test Results (International Feet /Meter)</w:t>
            </w:r>
          </w:p>
        </w:tc>
      </w:tr>
      <w:tr w:rsidR="002B77F1" w:rsidRPr="002B77F1" w14:paraId="05542D9C" w14:textId="77777777" w:rsidTr="00D50D08">
        <w:trPr>
          <w:trHeight w:hRule="exact" w:val="300"/>
          <w:jc w:val="center"/>
        </w:trPr>
        <w:tc>
          <w:tcPr>
            <w:tcW w:w="4680" w:type="dxa"/>
          </w:tcPr>
          <w:p w14:paraId="528B3945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Number of Check Points</w:t>
            </w:r>
          </w:p>
        </w:tc>
        <w:tc>
          <w:tcPr>
            <w:tcW w:w="3870" w:type="dxa"/>
          </w:tcPr>
          <w:p w14:paraId="4220F497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28</w:t>
            </w:r>
          </w:p>
        </w:tc>
      </w:tr>
      <w:tr w:rsidR="002B77F1" w:rsidRPr="002B77F1" w14:paraId="5DD53D6D" w14:textId="77777777" w:rsidTr="00D50D08">
        <w:trPr>
          <w:trHeight w:hRule="exact" w:val="300"/>
          <w:jc w:val="center"/>
        </w:trPr>
        <w:tc>
          <w:tcPr>
            <w:tcW w:w="4680" w:type="dxa"/>
          </w:tcPr>
          <w:p w14:paraId="09666A9B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Points with Bare Earth Coverage</w:t>
            </w:r>
          </w:p>
        </w:tc>
        <w:tc>
          <w:tcPr>
            <w:tcW w:w="3870" w:type="dxa"/>
          </w:tcPr>
          <w:p w14:paraId="391460E0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28</w:t>
            </w:r>
          </w:p>
        </w:tc>
      </w:tr>
      <w:tr w:rsidR="002B77F1" w:rsidRPr="002B77F1" w14:paraId="0196065F" w14:textId="77777777" w:rsidTr="00D50D08">
        <w:trPr>
          <w:trHeight w:hRule="exact" w:val="300"/>
          <w:jc w:val="center"/>
        </w:trPr>
        <w:tc>
          <w:tcPr>
            <w:tcW w:w="4680" w:type="dxa"/>
          </w:tcPr>
          <w:p w14:paraId="58A26672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Average Z Error</w:t>
            </w:r>
          </w:p>
        </w:tc>
        <w:tc>
          <w:tcPr>
            <w:tcW w:w="3870" w:type="dxa"/>
          </w:tcPr>
          <w:p w14:paraId="69411A2C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-0.01/0.00</w:t>
            </w:r>
          </w:p>
        </w:tc>
      </w:tr>
      <w:tr w:rsidR="002B77F1" w:rsidRPr="002B77F1" w14:paraId="136CFFBD" w14:textId="77777777" w:rsidTr="00D50D08">
        <w:trPr>
          <w:trHeight w:hRule="exact" w:val="300"/>
          <w:jc w:val="center"/>
        </w:trPr>
        <w:tc>
          <w:tcPr>
            <w:tcW w:w="4680" w:type="dxa"/>
          </w:tcPr>
          <w:p w14:paraId="737F0BB4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Maximum Z Error</w:t>
            </w:r>
          </w:p>
        </w:tc>
        <w:tc>
          <w:tcPr>
            <w:tcW w:w="3870" w:type="dxa"/>
          </w:tcPr>
          <w:p w14:paraId="6BF0E423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0.38/0.12</w:t>
            </w:r>
          </w:p>
        </w:tc>
      </w:tr>
      <w:tr w:rsidR="002B77F1" w:rsidRPr="002B77F1" w14:paraId="2BBD682D" w14:textId="77777777" w:rsidTr="00D50D08">
        <w:trPr>
          <w:trHeight w:hRule="exact" w:val="300"/>
          <w:jc w:val="center"/>
        </w:trPr>
        <w:tc>
          <w:tcPr>
            <w:tcW w:w="4680" w:type="dxa"/>
          </w:tcPr>
          <w:p w14:paraId="579BB439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Minimum Z Error</w:t>
            </w:r>
          </w:p>
        </w:tc>
        <w:tc>
          <w:tcPr>
            <w:tcW w:w="3870" w:type="dxa"/>
          </w:tcPr>
          <w:p w14:paraId="0B5DE240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-0.98/-0.29</w:t>
            </w:r>
          </w:p>
        </w:tc>
      </w:tr>
      <w:tr w:rsidR="002B77F1" w:rsidRPr="002B77F1" w14:paraId="7C95EC8F" w14:textId="77777777" w:rsidTr="00D50D08">
        <w:trPr>
          <w:trHeight w:hRule="exact" w:val="294"/>
          <w:jc w:val="center"/>
        </w:trPr>
        <w:tc>
          <w:tcPr>
            <w:tcW w:w="4680" w:type="dxa"/>
            <w:shd w:val="clear" w:color="auto" w:fill="BFBFBF" w:themeFill="background1" w:themeFillShade="BF"/>
          </w:tcPr>
          <w:p w14:paraId="1C523F4C" w14:textId="77777777" w:rsidR="002B77F1" w:rsidRPr="00E4058F" w:rsidRDefault="002B77F1" w:rsidP="002B77F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14:paraId="1A52FBE3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</w:p>
        </w:tc>
      </w:tr>
      <w:tr w:rsidR="002B77F1" w:rsidRPr="002B77F1" w14:paraId="7D886562" w14:textId="77777777" w:rsidTr="00D50D08">
        <w:trPr>
          <w:trHeight w:hRule="exact" w:val="306"/>
          <w:jc w:val="center"/>
        </w:trPr>
        <w:tc>
          <w:tcPr>
            <w:tcW w:w="4680" w:type="dxa"/>
          </w:tcPr>
          <w:p w14:paraId="1EA11387" w14:textId="77777777" w:rsidR="002B77F1" w:rsidRPr="00E4058F" w:rsidRDefault="002B77F1" w:rsidP="002B77F1">
            <w:pPr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VVA at 95</w:t>
            </w:r>
            <w:r w:rsidRPr="00E4058F">
              <w:rPr>
                <w:sz w:val="20"/>
                <w:szCs w:val="20"/>
                <w:vertAlign w:val="superscript"/>
              </w:rPr>
              <w:t>th</w:t>
            </w:r>
            <w:r w:rsidRPr="00E4058F">
              <w:rPr>
                <w:sz w:val="20"/>
                <w:szCs w:val="20"/>
              </w:rPr>
              <w:t xml:space="preserve"> Percentile &lt;=29.4 cm</w:t>
            </w:r>
          </w:p>
        </w:tc>
        <w:tc>
          <w:tcPr>
            <w:tcW w:w="3870" w:type="dxa"/>
          </w:tcPr>
          <w:p w14:paraId="2476D2F9" w14:textId="77777777" w:rsidR="002B77F1" w:rsidRPr="00E4058F" w:rsidRDefault="002B77F1" w:rsidP="00E4058F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 xml:space="preserve">0.251/0.077 </w:t>
            </w:r>
            <w:r w:rsidRPr="00E4058F">
              <w:rPr>
                <w:b/>
                <w:sz w:val="20"/>
                <w:szCs w:val="20"/>
              </w:rPr>
              <w:t>PASS</w:t>
            </w:r>
          </w:p>
        </w:tc>
      </w:tr>
    </w:tbl>
    <w:p w14:paraId="6AA2109E" w14:textId="393C249C" w:rsidR="00857B3C" w:rsidRPr="00857B3C" w:rsidRDefault="00F8102D" w:rsidP="00E4058F">
      <w:pPr>
        <w:pStyle w:val="Heading2"/>
        <w:spacing w:before="480"/>
      </w:pPr>
      <w:bookmarkStart w:id="13" w:name="_Toc509912003"/>
      <w:r>
        <w:t>4.2 LiDAR Acquisition</w:t>
      </w:r>
      <w:r w:rsidR="002B77F1">
        <w:t xml:space="preserve"> and Post Processing</w:t>
      </w:r>
      <w:bookmarkEnd w:id="13"/>
    </w:p>
    <w:p w14:paraId="6E74144D" w14:textId="627036CC" w:rsidR="00976185" w:rsidRDefault="002B77F1" w:rsidP="00E4058F">
      <w:pPr>
        <w:spacing w:after="0"/>
        <w:jc w:val="both"/>
      </w:pPr>
      <w:r>
        <w:t xml:space="preserve">LiDAR </w:t>
      </w:r>
      <w:r w:rsidR="000771D2">
        <w:t>was acquired</w:t>
      </w:r>
      <w:r>
        <w:t xml:space="preserve"> between</w:t>
      </w:r>
      <w:r w:rsidRPr="002B77F1">
        <w:rPr>
          <w:spacing w:val="-1"/>
        </w:rPr>
        <w:t xml:space="preserve"> </w:t>
      </w:r>
      <w:r>
        <w:t>March 22, 2017 and</w:t>
      </w:r>
      <w:r w:rsidRPr="002B77F1">
        <w:t xml:space="preserve"> April 24, 2017</w:t>
      </w:r>
      <w:r>
        <w:t xml:space="preserve"> and </w:t>
      </w:r>
      <w:r w:rsidR="00761F08">
        <w:t xml:space="preserve">covers </w:t>
      </w:r>
      <w:r w:rsidR="00BF19D3">
        <w:t xml:space="preserve">the total task order area of </w:t>
      </w:r>
      <w:r w:rsidR="000771D2">
        <w:t>5</w:t>
      </w:r>
      <w:r>
        <w:t>35</w:t>
      </w:r>
      <w:r w:rsidR="00BF19D3">
        <w:t xml:space="preserve"> square miles</w:t>
      </w:r>
      <w:r w:rsidR="000771D2">
        <w:t>.</w:t>
      </w:r>
      <w:r w:rsidR="00BF19D3">
        <w:t xml:space="preserve"> </w:t>
      </w:r>
      <w:r w:rsidR="000771D2">
        <w:t xml:space="preserve"> This collection has</w:t>
      </w:r>
      <w:r w:rsidR="00BF19D3">
        <w:t xml:space="preserve"> </w:t>
      </w:r>
      <w:r>
        <w:t xml:space="preserve">a point density of approximately </w:t>
      </w:r>
      <w:r w:rsidRPr="00A63F3D">
        <w:t>2.</w:t>
      </w:r>
      <w:r>
        <w:t>5</w:t>
      </w:r>
      <w:r w:rsidRPr="00A63F3D">
        <w:t xml:space="preserve"> points per square meter</w:t>
      </w:r>
      <w:r w:rsidR="000771D2">
        <w:t xml:space="preserve"> and point spacing of 0.64 meters</w:t>
      </w:r>
      <w:r>
        <w:t>.</w:t>
      </w:r>
      <w:r w:rsidR="000771D2">
        <w:t xml:space="preserve">  The classified LiDAR tiles are 5,000 x 5,000-foot and c</w:t>
      </w:r>
      <w:r w:rsidR="00E4058F">
        <w:t>lassified in accordance with the scope of work.</w:t>
      </w:r>
    </w:p>
    <w:p w14:paraId="05F3151E" w14:textId="77777777" w:rsidR="00E4058F" w:rsidRDefault="00E4058F" w:rsidP="00E4058F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75"/>
      </w:tblGrid>
      <w:tr w:rsidR="00E4058F" w:rsidRPr="00716089" w14:paraId="630D121F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BFBFBF" w:themeFill="background1" w:themeFillShade="BF"/>
          </w:tcPr>
          <w:p w14:paraId="17C6875E" w14:textId="77777777" w:rsidR="00E4058F" w:rsidRPr="00E4058F" w:rsidRDefault="00E4058F" w:rsidP="00425E0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E4058F">
              <w:rPr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3975" w:type="dxa"/>
            <w:shd w:val="clear" w:color="auto" w:fill="BFBFBF" w:themeFill="background1" w:themeFillShade="BF"/>
          </w:tcPr>
          <w:p w14:paraId="3643D347" w14:textId="77777777" w:rsidR="00E4058F" w:rsidRPr="00E4058F" w:rsidRDefault="00E4058F" w:rsidP="00425E0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E4058F">
              <w:rPr>
                <w:b/>
                <w:iCs/>
                <w:sz w:val="20"/>
                <w:szCs w:val="20"/>
              </w:rPr>
              <w:t>Description</w:t>
            </w:r>
          </w:p>
        </w:tc>
      </w:tr>
      <w:tr w:rsidR="00E4058F" w:rsidRPr="00716089" w14:paraId="24F220AF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77D2C78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14:paraId="681FBF13" w14:textId="77777777" w:rsidR="00E4058F" w:rsidRPr="00E4058F" w:rsidRDefault="00E4058F" w:rsidP="00425E07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Processed but not classified</w:t>
            </w:r>
          </w:p>
        </w:tc>
      </w:tr>
      <w:tr w:rsidR="00E4058F" w:rsidRPr="00716089" w14:paraId="6503D5FD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7DC98D0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14:paraId="64DF4917" w14:textId="77777777" w:rsidR="00E4058F" w:rsidRPr="00E4058F" w:rsidRDefault="00E4058F" w:rsidP="00425E07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Bare Earth</w:t>
            </w:r>
          </w:p>
        </w:tc>
      </w:tr>
      <w:tr w:rsidR="00E4058F" w:rsidRPr="00716089" w14:paraId="61F96E8D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F35348F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3975" w:type="dxa"/>
            <w:shd w:val="clear" w:color="auto" w:fill="auto"/>
          </w:tcPr>
          <w:p w14:paraId="172E3023" w14:textId="77777777" w:rsidR="00E4058F" w:rsidRPr="00E4058F" w:rsidRDefault="00E4058F" w:rsidP="00425E07">
            <w:pPr>
              <w:spacing w:line="252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Low Noise</w:t>
            </w:r>
          </w:p>
        </w:tc>
      </w:tr>
      <w:tr w:rsidR="00E4058F" w:rsidRPr="00716089" w14:paraId="6F552003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9130E22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3975" w:type="dxa"/>
            <w:shd w:val="clear" w:color="auto" w:fill="auto"/>
          </w:tcPr>
          <w:p w14:paraId="2B12124F" w14:textId="77777777" w:rsidR="00E4058F" w:rsidRPr="00E4058F" w:rsidRDefault="00E4058F" w:rsidP="00425E07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Water</w:t>
            </w:r>
          </w:p>
        </w:tc>
      </w:tr>
      <w:tr w:rsidR="00E4058F" w:rsidRPr="00716089" w14:paraId="40CA4884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FB9FF96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3975" w:type="dxa"/>
            <w:shd w:val="clear" w:color="auto" w:fill="auto"/>
          </w:tcPr>
          <w:p w14:paraId="0D8EF7EF" w14:textId="77777777" w:rsidR="00E4058F" w:rsidRPr="00E4058F" w:rsidRDefault="00E4058F" w:rsidP="00425E07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Ignored Ground (near a breakline)</w:t>
            </w:r>
          </w:p>
        </w:tc>
      </w:tr>
      <w:tr w:rsidR="00E4058F" w:rsidRPr="00716089" w14:paraId="79B6290B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B4CCEBD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3975" w:type="dxa"/>
            <w:shd w:val="clear" w:color="auto" w:fill="auto"/>
          </w:tcPr>
          <w:p w14:paraId="3CA3F9E2" w14:textId="77777777" w:rsidR="00E4058F" w:rsidRPr="00E4058F" w:rsidRDefault="00E4058F" w:rsidP="00425E07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Bridge Decks</w:t>
            </w:r>
          </w:p>
        </w:tc>
      </w:tr>
      <w:tr w:rsidR="00E4058F" w:rsidRPr="00716089" w14:paraId="3500D981" w14:textId="77777777" w:rsidTr="00D50D08">
        <w:trPr>
          <w:trHeight w:hRule="exact" w:val="288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C5171F2" w14:textId="77777777" w:rsidR="00E4058F" w:rsidRPr="00E4058F" w:rsidRDefault="00E4058F" w:rsidP="00425E07">
            <w:pPr>
              <w:spacing w:line="25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3975" w:type="dxa"/>
            <w:shd w:val="clear" w:color="auto" w:fill="auto"/>
          </w:tcPr>
          <w:p w14:paraId="3B8D40EF" w14:textId="77777777" w:rsidR="00E4058F" w:rsidRPr="00E4058F" w:rsidRDefault="00E4058F" w:rsidP="00425E07">
            <w:pPr>
              <w:spacing w:line="252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058F">
              <w:rPr>
                <w:rFonts w:ascii="Calibri" w:eastAsia="Times New Roman" w:hAnsi="Calibri" w:cs="Times New Roman"/>
                <w:sz w:val="20"/>
                <w:szCs w:val="20"/>
              </w:rPr>
              <w:t>High Noise</w:t>
            </w:r>
          </w:p>
        </w:tc>
      </w:tr>
    </w:tbl>
    <w:p w14:paraId="2AA06403" w14:textId="77777777" w:rsidR="00E4058F" w:rsidRDefault="00E4058F" w:rsidP="007E0C13">
      <w:pPr>
        <w:jc w:val="both"/>
      </w:pPr>
    </w:p>
    <w:p w14:paraId="1201071A" w14:textId="11B96820" w:rsidR="00631A77" w:rsidRDefault="00775D34" w:rsidP="007E0C13">
      <w:pPr>
        <w:jc w:val="both"/>
      </w:pPr>
      <w:r>
        <w:t xml:space="preserve">Breaklines are created using the class 2 LiDAR.  The bare earth surface model was then used to heads-up digitize 2D breaklines of inland streams and rivers with a </w:t>
      </w:r>
      <w:r w:rsidR="00C26298">
        <w:t>100-foot</w:t>
      </w:r>
      <w:r>
        <w:t xml:space="preserve"> nominal width and Inland Ponds and Lakes of 2 acres or greater surface area</w:t>
      </w:r>
      <w:r w:rsidR="00C26298">
        <w:t xml:space="preserve">.  </w:t>
      </w:r>
      <w:r>
        <w:t xml:space="preserve">Elevation values were assigned to all Inland Ponds and Lakes, </w:t>
      </w:r>
      <w:r w:rsidR="00631A77">
        <w:t>and Islands to create final 3D breaklines</w:t>
      </w:r>
      <w:r w:rsidR="000C4EF6">
        <w:t xml:space="preserve">.  </w:t>
      </w:r>
      <w:r w:rsidR="00631A77">
        <w:t>C</w:t>
      </w:r>
      <w:r>
        <w:t xml:space="preserve">lass 2 LiDAR in conjunction with the hydro </w:t>
      </w:r>
      <w:r w:rsidR="00631A77">
        <w:t>breaklines were used to create the</w:t>
      </w:r>
      <w:r>
        <w:t xml:space="preserve"> </w:t>
      </w:r>
      <w:r w:rsidR="00631A77">
        <w:t>2</w:t>
      </w:r>
      <w:r w:rsidR="00F9407B">
        <w:t>-</w:t>
      </w:r>
      <w:r w:rsidR="00631A77">
        <w:t>foot Hydro-Flattened</w:t>
      </w:r>
      <w:r>
        <w:t xml:space="preserve"> Raster DEM</w:t>
      </w:r>
      <w:r w:rsidR="00631A77">
        <w:t>s</w:t>
      </w:r>
      <w:r>
        <w:t>.</w:t>
      </w:r>
    </w:p>
    <w:p w14:paraId="405920C5" w14:textId="70EF5340" w:rsidR="00674800" w:rsidRDefault="00DE4AEC" w:rsidP="00B909B1">
      <w:pPr>
        <w:pStyle w:val="Heading2"/>
        <w:spacing w:before="240" w:after="0"/>
      </w:pPr>
      <w:bookmarkStart w:id="14" w:name="_Toc509912004"/>
      <w:r>
        <w:t>4.</w:t>
      </w:r>
      <w:r w:rsidR="00631A77">
        <w:t>3</w:t>
      </w:r>
      <w:r w:rsidR="00070624">
        <w:t xml:space="preserve"> </w:t>
      </w:r>
      <w:r w:rsidR="00F8102D">
        <w:t>Quality Assurance</w:t>
      </w:r>
      <w:bookmarkStart w:id="15" w:name="_GoBack"/>
      <w:bookmarkEnd w:id="14"/>
      <w:bookmarkEnd w:id="15"/>
    </w:p>
    <w:p w14:paraId="364AEA34" w14:textId="77777777" w:rsidR="00DE4AEC" w:rsidRDefault="00DE4AEC" w:rsidP="007E0C13">
      <w:pPr>
        <w:jc w:val="both"/>
      </w:pPr>
      <w:r>
        <w:t>Quality assurance for all elevation data delivered for this project</w:t>
      </w:r>
      <w:r w:rsidRPr="00DE4AEC">
        <w:t xml:space="preserve"> </w:t>
      </w:r>
      <w:r>
        <w:t xml:space="preserve">has been completed </w:t>
      </w:r>
      <w:r w:rsidRPr="00DE4AEC">
        <w:t>based on the following specifications:</w:t>
      </w:r>
    </w:p>
    <w:p w14:paraId="73078F0D" w14:textId="77777777" w:rsidR="00DE4AEC" w:rsidRPr="00DE4AEC" w:rsidRDefault="00DE4AEC" w:rsidP="007E0C13">
      <w:pPr>
        <w:pStyle w:val="ListParagraph"/>
        <w:numPr>
          <w:ilvl w:val="0"/>
          <w:numId w:val="3"/>
        </w:numPr>
        <w:ind w:left="720"/>
      </w:pPr>
      <w:r w:rsidRPr="00DE4AEC">
        <w:t xml:space="preserve">USGS Lidar Base Specification Version 1.2, November 2014 </w:t>
      </w:r>
    </w:p>
    <w:p w14:paraId="0407CE7A" w14:textId="77777777" w:rsidR="00DE4AEC" w:rsidRPr="00DE4AEC" w:rsidRDefault="00DE4AEC" w:rsidP="007E0C13">
      <w:pPr>
        <w:pStyle w:val="ListParagraph"/>
        <w:numPr>
          <w:ilvl w:val="0"/>
          <w:numId w:val="3"/>
        </w:numPr>
        <w:ind w:left="720"/>
      </w:pPr>
      <w:r w:rsidRPr="00DE4AEC">
        <w:t>ASPRS LAS Specification Version 1.4 – R13 July 15, 2013</w:t>
      </w:r>
    </w:p>
    <w:p w14:paraId="3A88CF66" w14:textId="10DC593D" w:rsidR="00DE4AEC" w:rsidRDefault="00DE4AEC" w:rsidP="007E0C13">
      <w:pPr>
        <w:pStyle w:val="ListParagraph"/>
        <w:numPr>
          <w:ilvl w:val="0"/>
          <w:numId w:val="3"/>
        </w:numPr>
        <w:ind w:left="720"/>
      </w:pPr>
      <w:r w:rsidRPr="00DE4AEC">
        <w:t>ASPRS Positional Accuracy Standards for Digital Geospatial Data (Edition 1, Version 1.0. –</w:t>
      </w:r>
      <w:r w:rsidR="000C4EF6">
        <w:t xml:space="preserve"> </w:t>
      </w:r>
      <w:r w:rsidR="000C4EF6" w:rsidRPr="00DE4AEC">
        <w:t>November</w:t>
      </w:r>
      <w:r w:rsidRPr="00DE4AEC">
        <w:t xml:space="preserve"> 2014)</w:t>
      </w:r>
    </w:p>
    <w:p w14:paraId="63618FEE" w14:textId="1B8DADA2" w:rsidR="00775D34" w:rsidRDefault="00DE4AEC" w:rsidP="00761D99">
      <w:pPr>
        <w:pStyle w:val="ListParagraph"/>
        <w:numPr>
          <w:ilvl w:val="0"/>
          <w:numId w:val="3"/>
        </w:numPr>
        <w:ind w:left="720"/>
      </w:pPr>
      <w:r w:rsidRPr="00DE4AEC">
        <w:t xml:space="preserve">FEMA Data Capture Standards format for terrain deliverables </w:t>
      </w:r>
      <w:r w:rsidR="00631A77">
        <w:t>May 2017</w:t>
      </w:r>
    </w:p>
    <w:p w14:paraId="5B27DC5B" w14:textId="77777777" w:rsidR="00B909B1" w:rsidRDefault="00B909B1" w:rsidP="007E0C13">
      <w:pPr>
        <w:jc w:val="both"/>
      </w:pPr>
    </w:p>
    <w:p w14:paraId="211A87FC" w14:textId="75B5D135" w:rsidR="000D5DE8" w:rsidRDefault="00DE4AEC" w:rsidP="007E0C13">
      <w:pPr>
        <w:jc w:val="both"/>
      </w:pPr>
      <w:r>
        <w:t>LiDAR elevation data created</w:t>
      </w:r>
      <w:r w:rsidRPr="00DE4AEC">
        <w:t xml:space="preserve"> during this project are checked for</w:t>
      </w:r>
      <w:r>
        <w:t xml:space="preserve"> </w:t>
      </w:r>
      <w:r w:rsidR="0039658A">
        <w:t>compliance</w:t>
      </w:r>
      <w:r w:rsidR="0039658A" w:rsidRPr="00DE4AEC">
        <w:t xml:space="preserve"> to</w:t>
      </w:r>
      <w:r w:rsidRPr="00DE4AEC">
        <w:t xml:space="preserve"> the </w:t>
      </w:r>
      <w:r w:rsidR="00631A77" w:rsidRPr="00DE4AEC">
        <w:t>guidance</w:t>
      </w:r>
      <w:r w:rsidRPr="00DE4AEC">
        <w:t xml:space="preserve"> and specifications before</w:t>
      </w:r>
      <w:r>
        <w:t xml:space="preserve"> </w:t>
      </w:r>
      <w:r w:rsidRPr="00DE4AEC">
        <w:t>submittal to FEMA.</w:t>
      </w:r>
      <w:r w:rsidR="0039658A">
        <w:t xml:space="preserve">  Quality assurance results are incorporated into the </w:t>
      </w:r>
      <w:r w:rsidR="0033493B">
        <w:rPr>
          <w:i/>
        </w:rPr>
        <w:t>New Topographic</w:t>
      </w:r>
      <w:r w:rsidR="0033493B" w:rsidRPr="003B61FD">
        <w:rPr>
          <w:i/>
        </w:rPr>
        <w:t xml:space="preserve"> </w:t>
      </w:r>
      <w:r w:rsidR="003B61FD" w:rsidRPr="003B61FD">
        <w:rPr>
          <w:i/>
        </w:rPr>
        <w:t>Data</w:t>
      </w:r>
      <w:r w:rsidR="0033493B">
        <w:rPr>
          <w:i/>
        </w:rPr>
        <w:t>, Independent</w:t>
      </w:r>
      <w:r w:rsidR="003B61FD" w:rsidRPr="003B61FD">
        <w:rPr>
          <w:i/>
        </w:rPr>
        <w:t xml:space="preserve"> QAQC Report – Branch County MI</w:t>
      </w:r>
      <w:r w:rsidR="00631A77">
        <w:rPr>
          <w:i/>
        </w:rPr>
        <w:t xml:space="preserve"> </w:t>
      </w:r>
      <w:r w:rsidR="00631A77" w:rsidRPr="00631A77">
        <w:t>included</w:t>
      </w:r>
      <w:r w:rsidR="0039658A">
        <w:t xml:space="preserve"> with this submission.</w:t>
      </w:r>
    </w:p>
    <w:p w14:paraId="215F5E5E" w14:textId="04169C50" w:rsidR="00775D34" w:rsidRDefault="00775D34" w:rsidP="00857B3C">
      <w:pPr>
        <w:pStyle w:val="ListParagraph"/>
        <w:spacing w:after="0"/>
        <w:jc w:val="both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 xml:space="preserve">STARR II will provide deliverables to the FEMA Engineering Library via external hard drive.  </w:t>
      </w:r>
      <w:r w:rsidR="007A381E" w:rsidRPr="007A381E">
        <w:rPr>
          <w:rFonts w:ascii="Calibri" w:eastAsia="Calibri" w:hAnsi="Calibri" w:cs="Times New Roman"/>
          <w:spacing w:val="-1"/>
        </w:rPr>
        <w:t>All supporting documentation (i.e.</w:t>
      </w:r>
      <w:r w:rsidR="00D65995">
        <w:rPr>
          <w:rFonts w:ascii="Calibri" w:eastAsia="Calibri" w:hAnsi="Calibri" w:cs="Times New Roman"/>
          <w:spacing w:val="-1"/>
        </w:rPr>
        <w:t>,</w:t>
      </w:r>
      <w:r w:rsidR="007A381E" w:rsidRPr="007A381E">
        <w:rPr>
          <w:rFonts w:ascii="Calibri" w:eastAsia="Calibri" w:hAnsi="Calibri" w:cs="Times New Roman"/>
          <w:spacing w:val="-1"/>
        </w:rPr>
        <w:t xml:space="preserve"> the content of the Task Documentation, Correspondence, and Spatial Files folder</w:t>
      </w:r>
      <w:r w:rsidR="007A381E">
        <w:rPr>
          <w:rFonts w:ascii="Calibri" w:eastAsia="Calibri" w:hAnsi="Calibri" w:cs="Times New Roman"/>
          <w:spacing w:val="-1"/>
        </w:rPr>
        <w:t>s) has been uploaded to the MIP</w:t>
      </w:r>
      <w:r>
        <w:rPr>
          <w:rFonts w:ascii="Calibri" w:eastAsia="Calibri" w:hAnsi="Calibri" w:cs="Times New Roman"/>
          <w:spacing w:val="-1"/>
        </w:rPr>
        <w:t xml:space="preserve"> at this location:</w:t>
      </w:r>
    </w:p>
    <w:p w14:paraId="7BB4B05A" w14:textId="5DDE6361" w:rsidR="006D459A" w:rsidRDefault="006D459A" w:rsidP="00857B3C">
      <w:pPr>
        <w:pStyle w:val="ListParagraph"/>
        <w:spacing w:after="0"/>
        <w:jc w:val="both"/>
        <w:rPr>
          <w:rFonts w:ascii="Calibri" w:eastAsia="Calibri" w:hAnsi="Calibri" w:cs="Times New Roman"/>
          <w:spacing w:val="-1"/>
        </w:rPr>
      </w:pPr>
    </w:p>
    <w:p w14:paraId="1F09C36D" w14:textId="4632C8B5" w:rsidR="00F3383B" w:rsidRPr="00B909B1" w:rsidRDefault="006D459A" w:rsidP="00B909B1">
      <w:pPr>
        <w:pStyle w:val="ListParagraph"/>
        <w:spacing w:after="0"/>
        <w:jc w:val="both"/>
        <w:rPr>
          <w:rFonts w:ascii="Calibri" w:eastAsia="Calibri" w:hAnsi="Calibri" w:cs="Times New Roman"/>
          <w:spacing w:val="-1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J:/FY2017/17-05-1292S/Topographic - Branch County, MI - 1/New Topographic Data Capture - New Topographic Data Capture 26023C - 1</w:t>
      </w:r>
    </w:p>
    <w:sectPr w:rsidR="00F3383B" w:rsidRPr="00B909B1" w:rsidSect="003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7CD3" w14:textId="77777777" w:rsidR="00074C6B" w:rsidRDefault="00074C6B" w:rsidP="007D5C11">
      <w:pPr>
        <w:spacing w:after="0" w:line="240" w:lineRule="auto"/>
      </w:pPr>
      <w:r>
        <w:separator/>
      </w:r>
    </w:p>
  </w:endnote>
  <w:endnote w:type="continuationSeparator" w:id="0">
    <w:p w14:paraId="03314913" w14:textId="77777777" w:rsidR="00074C6B" w:rsidRDefault="00074C6B" w:rsidP="007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F791" w14:textId="0A094E6D" w:rsidR="007D5C11" w:rsidRDefault="007D5C11">
    <w:pPr>
      <w:pStyle w:val="Footer"/>
      <w:jc w:val="center"/>
    </w:pPr>
  </w:p>
  <w:p w14:paraId="101E2F86" w14:textId="77777777" w:rsidR="007D5C11" w:rsidRDefault="007D5C11" w:rsidP="007D5C1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D033" w14:textId="77777777" w:rsidR="007D5C11" w:rsidRDefault="007D5C11" w:rsidP="007D5C1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60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5CA79" w14:textId="164C62DE" w:rsidR="007D5C11" w:rsidRDefault="007D5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A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A549A4" w14:textId="77777777" w:rsidR="007D5C11" w:rsidRDefault="007D5C11" w:rsidP="007D5C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3D4E" w14:textId="77777777" w:rsidR="00074C6B" w:rsidRDefault="00074C6B" w:rsidP="007D5C11">
      <w:pPr>
        <w:spacing w:after="0" w:line="240" w:lineRule="auto"/>
      </w:pPr>
      <w:r>
        <w:separator/>
      </w:r>
    </w:p>
  </w:footnote>
  <w:footnote w:type="continuationSeparator" w:id="0">
    <w:p w14:paraId="002D4F94" w14:textId="77777777" w:rsidR="00074C6B" w:rsidRDefault="00074C6B" w:rsidP="007D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DAA4" w14:textId="76574332" w:rsidR="007D5C11" w:rsidRPr="00D62266" w:rsidRDefault="00E17A90" w:rsidP="007D5C11">
    <w:pPr>
      <w:pStyle w:val="Header"/>
      <w:jc w:val="right"/>
    </w:pPr>
    <w:r>
      <w:t>Branch County, MI</w:t>
    </w:r>
  </w:p>
  <w:p w14:paraId="3583BCF1" w14:textId="74596E62" w:rsidR="007D5C11" w:rsidRPr="00D62266" w:rsidRDefault="007D5C11" w:rsidP="007D5C11">
    <w:pPr>
      <w:pStyle w:val="Header"/>
      <w:jc w:val="right"/>
    </w:pPr>
    <w:r w:rsidRPr="00D62266">
      <w:t xml:space="preserve">FEMA Case Number </w:t>
    </w:r>
    <w:r w:rsidR="003B61FD">
      <w:t>17-05-1292S</w:t>
    </w:r>
  </w:p>
  <w:p w14:paraId="19F42AAB" w14:textId="20917FC5" w:rsidR="007D5C11" w:rsidRDefault="00E17A90" w:rsidP="007D5C11">
    <w:pPr>
      <w:pStyle w:val="Header"/>
      <w:jc w:val="right"/>
    </w:pPr>
    <w:r>
      <w:t>New Topographic Data</w:t>
    </w:r>
    <w:r w:rsidR="007D5C11" w:rsidRPr="00D62266">
      <w:t xml:space="preserve"> 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43F"/>
    <w:multiLevelType w:val="hybridMultilevel"/>
    <w:tmpl w:val="0F186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F5598"/>
    <w:multiLevelType w:val="multilevel"/>
    <w:tmpl w:val="D202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C25D3A"/>
    <w:multiLevelType w:val="hybridMultilevel"/>
    <w:tmpl w:val="9366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D7031"/>
    <w:multiLevelType w:val="hybridMultilevel"/>
    <w:tmpl w:val="B4B075B2"/>
    <w:lvl w:ilvl="0" w:tplc="36501F9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7101"/>
    <w:multiLevelType w:val="hybridMultilevel"/>
    <w:tmpl w:val="9564A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8300B1"/>
    <w:multiLevelType w:val="hybridMultilevel"/>
    <w:tmpl w:val="4EB61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400DB"/>
    <w:multiLevelType w:val="hybridMultilevel"/>
    <w:tmpl w:val="1DE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5C70"/>
    <w:multiLevelType w:val="hybridMultilevel"/>
    <w:tmpl w:val="FB30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9226D"/>
    <w:multiLevelType w:val="hybridMultilevel"/>
    <w:tmpl w:val="D74C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55D2"/>
    <w:multiLevelType w:val="multilevel"/>
    <w:tmpl w:val="1E32C7C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5"/>
      <w:numFmt w:val="decimal"/>
      <w:lvlText w:val="%1.%2"/>
      <w:lvlJc w:val="left"/>
      <w:pPr>
        <w:ind w:left="94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eastAsiaTheme="minorHAnsi" w:hint="default"/>
        <w:color w:val="0000FF" w:themeColor="hyperlink"/>
        <w:u w:val="single"/>
      </w:rPr>
    </w:lvl>
  </w:abstractNum>
  <w:abstractNum w:abstractNumId="10" w15:restartNumberingAfterBreak="0">
    <w:nsid w:val="33725A2F"/>
    <w:multiLevelType w:val="hybridMultilevel"/>
    <w:tmpl w:val="EACE6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83E45"/>
    <w:multiLevelType w:val="hybridMultilevel"/>
    <w:tmpl w:val="3E8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14D0"/>
    <w:multiLevelType w:val="hybridMultilevel"/>
    <w:tmpl w:val="62608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09B4D3A"/>
    <w:multiLevelType w:val="hybridMultilevel"/>
    <w:tmpl w:val="C172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435A1"/>
    <w:multiLevelType w:val="multilevel"/>
    <w:tmpl w:val="2AE87274"/>
    <w:lvl w:ilvl="0">
      <w:start w:val="3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12963"/>
    <w:multiLevelType w:val="hybridMultilevel"/>
    <w:tmpl w:val="0DB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4762A"/>
    <w:multiLevelType w:val="multilevel"/>
    <w:tmpl w:val="094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555"/>
      </w:pPr>
      <w:rPr>
        <w:rFonts w:ascii="Calibri" w:hAnsi="Calibri" w:hint="default"/>
      </w:rPr>
    </w:lvl>
    <w:lvl w:ilvl="2">
      <w:start w:val="4"/>
      <w:numFmt w:val="decimal"/>
      <w:isLgl/>
      <w:lvlText w:val="%1.%2.%3"/>
      <w:lvlJc w:val="left"/>
      <w:pPr>
        <w:ind w:left="1794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ascii="Calibri" w:hAnsi="Calibri" w:hint="default"/>
      </w:rPr>
    </w:lvl>
  </w:abstractNum>
  <w:abstractNum w:abstractNumId="17" w15:restartNumberingAfterBreak="0">
    <w:nsid w:val="529D0B1C"/>
    <w:multiLevelType w:val="hybridMultilevel"/>
    <w:tmpl w:val="BC22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6E8B"/>
    <w:multiLevelType w:val="hybridMultilevel"/>
    <w:tmpl w:val="125E2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0A6E86"/>
    <w:multiLevelType w:val="hybridMultilevel"/>
    <w:tmpl w:val="AB92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C1EEF"/>
    <w:multiLevelType w:val="hybridMultilevel"/>
    <w:tmpl w:val="CF9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506C"/>
    <w:multiLevelType w:val="hybridMultilevel"/>
    <w:tmpl w:val="E77E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B0216"/>
    <w:multiLevelType w:val="hybridMultilevel"/>
    <w:tmpl w:val="8E5AA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702D19"/>
    <w:multiLevelType w:val="multilevel"/>
    <w:tmpl w:val="D202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B8F35B3"/>
    <w:multiLevelType w:val="hybridMultilevel"/>
    <w:tmpl w:val="C53037D0"/>
    <w:lvl w:ilvl="0" w:tplc="6F00EF7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01A9"/>
    <w:multiLevelType w:val="hybridMultilevel"/>
    <w:tmpl w:val="CB3C37E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 w15:restartNumberingAfterBreak="0">
    <w:nsid w:val="721E2E93"/>
    <w:multiLevelType w:val="hybridMultilevel"/>
    <w:tmpl w:val="4FFE4ADA"/>
    <w:lvl w:ilvl="0" w:tplc="34DE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5D64"/>
    <w:multiLevelType w:val="multilevel"/>
    <w:tmpl w:val="AA168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3914559"/>
    <w:multiLevelType w:val="hybridMultilevel"/>
    <w:tmpl w:val="3FBA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493080"/>
    <w:multiLevelType w:val="hybridMultilevel"/>
    <w:tmpl w:val="C0EA8C92"/>
    <w:lvl w:ilvl="0" w:tplc="28A0F9F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64A4E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9F67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5920B420">
      <w:start w:val="1"/>
      <w:numFmt w:val="bullet"/>
      <w:lvlText w:val="•"/>
      <w:lvlJc w:val="left"/>
      <w:rPr>
        <w:rFonts w:hint="default"/>
      </w:rPr>
    </w:lvl>
    <w:lvl w:ilvl="4" w:tplc="A822BDA0">
      <w:start w:val="1"/>
      <w:numFmt w:val="bullet"/>
      <w:lvlText w:val="•"/>
      <w:lvlJc w:val="left"/>
      <w:rPr>
        <w:rFonts w:hint="default"/>
      </w:rPr>
    </w:lvl>
    <w:lvl w:ilvl="5" w:tplc="48FA1680">
      <w:start w:val="1"/>
      <w:numFmt w:val="bullet"/>
      <w:lvlText w:val="•"/>
      <w:lvlJc w:val="left"/>
      <w:rPr>
        <w:rFonts w:hint="default"/>
      </w:rPr>
    </w:lvl>
    <w:lvl w:ilvl="6" w:tplc="7F6A8540">
      <w:start w:val="1"/>
      <w:numFmt w:val="bullet"/>
      <w:lvlText w:val="•"/>
      <w:lvlJc w:val="left"/>
      <w:rPr>
        <w:rFonts w:hint="default"/>
      </w:rPr>
    </w:lvl>
    <w:lvl w:ilvl="7" w:tplc="738A086A">
      <w:start w:val="1"/>
      <w:numFmt w:val="bullet"/>
      <w:lvlText w:val="•"/>
      <w:lvlJc w:val="left"/>
      <w:rPr>
        <w:rFonts w:hint="default"/>
      </w:rPr>
    </w:lvl>
    <w:lvl w:ilvl="8" w:tplc="319CB56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A9216E4"/>
    <w:multiLevelType w:val="hybridMultilevel"/>
    <w:tmpl w:val="C1F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8"/>
  </w:num>
  <w:num w:numId="4">
    <w:abstractNumId w:val="15"/>
  </w:num>
  <w:num w:numId="5">
    <w:abstractNumId w:val="20"/>
  </w:num>
  <w:num w:numId="6">
    <w:abstractNumId w:val="24"/>
  </w:num>
  <w:num w:numId="7">
    <w:abstractNumId w:val="8"/>
  </w:num>
  <w:num w:numId="8">
    <w:abstractNumId w:val="17"/>
  </w:num>
  <w:num w:numId="9">
    <w:abstractNumId w:val="16"/>
  </w:num>
  <w:num w:numId="10">
    <w:abstractNumId w:val="5"/>
  </w:num>
  <w:num w:numId="11">
    <w:abstractNumId w:val="7"/>
  </w:num>
  <w:num w:numId="12">
    <w:abstractNumId w:val="1"/>
  </w:num>
  <w:num w:numId="13">
    <w:abstractNumId w:val="19"/>
  </w:num>
  <w:num w:numId="14">
    <w:abstractNumId w:val="29"/>
  </w:num>
  <w:num w:numId="15">
    <w:abstractNumId w:val="13"/>
  </w:num>
  <w:num w:numId="16">
    <w:abstractNumId w:val="0"/>
  </w:num>
  <w:num w:numId="17">
    <w:abstractNumId w:val="2"/>
  </w:num>
  <w:num w:numId="18">
    <w:abstractNumId w:val="10"/>
  </w:num>
  <w:num w:numId="19">
    <w:abstractNumId w:val="22"/>
  </w:num>
  <w:num w:numId="20">
    <w:abstractNumId w:val="28"/>
  </w:num>
  <w:num w:numId="21">
    <w:abstractNumId w:val="12"/>
  </w:num>
  <w:num w:numId="22">
    <w:abstractNumId w:val="4"/>
  </w:num>
  <w:num w:numId="23">
    <w:abstractNumId w:val="25"/>
  </w:num>
  <w:num w:numId="24">
    <w:abstractNumId w:val="3"/>
  </w:num>
  <w:num w:numId="25">
    <w:abstractNumId w:val="23"/>
  </w:num>
  <w:num w:numId="26">
    <w:abstractNumId w:val="27"/>
  </w:num>
  <w:num w:numId="27">
    <w:abstractNumId w:val="9"/>
  </w:num>
  <w:num w:numId="28">
    <w:abstractNumId w:val="26"/>
  </w:num>
  <w:num w:numId="29">
    <w:abstractNumId w:val="14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28"/>
    <w:rsid w:val="0000276F"/>
    <w:rsid w:val="0000512D"/>
    <w:rsid w:val="00010CC0"/>
    <w:rsid w:val="000111DE"/>
    <w:rsid w:val="00020B3A"/>
    <w:rsid w:val="00026041"/>
    <w:rsid w:val="0004107D"/>
    <w:rsid w:val="000436CE"/>
    <w:rsid w:val="00054D34"/>
    <w:rsid w:val="00060BAB"/>
    <w:rsid w:val="00066F59"/>
    <w:rsid w:val="00070624"/>
    <w:rsid w:val="00071020"/>
    <w:rsid w:val="00074C6B"/>
    <w:rsid w:val="0007604F"/>
    <w:rsid w:val="000771D2"/>
    <w:rsid w:val="0009428B"/>
    <w:rsid w:val="000A0D8B"/>
    <w:rsid w:val="000B22C1"/>
    <w:rsid w:val="000C2D73"/>
    <w:rsid w:val="000C4EF6"/>
    <w:rsid w:val="000C512F"/>
    <w:rsid w:val="000D5DE8"/>
    <w:rsid w:val="00113D67"/>
    <w:rsid w:val="001173DF"/>
    <w:rsid w:val="0012704D"/>
    <w:rsid w:val="0013333A"/>
    <w:rsid w:val="001369E2"/>
    <w:rsid w:val="00146465"/>
    <w:rsid w:val="0014657D"/>
    <w:rsid w:val="001501B7"/>
    <w:rsid w:val="001610C1"/>
    <w:rsid w:val="00180FAD"/>
    <w:rsid w:val="00181DE8"/>
    <w:rsid w:val="0018216E"/>
    <w:rsid w:val="00187B3C"/>
    <w:rsid w:val="001A117B"/>
    <w:rsid w:val="001A4E0C"/>
    <w:rsid w:val="001C28E7"/>
    <w:rsid w:val="001C7C8D"/>
    <w:rsid w:val="001E77BE"/>
    <w:rsid w:val="00202F5F"/>
    <w:rsid w:val="00203F26"/>
    <w:rsid w:val="002078B3"/>
    <w:rsid w:val="00207C53"/>
    <w:rsid w:val="00213033"/>
    <w:rsid w:val="0021393C"/>
    <w:rsid w:val="00221128"/>
    <w:rsid w:val="00227207"/>
    <w:rsid w:val="002300F8"/>
    <w:rsid w:val="00230ED3"/>
    <w:rsid w:val="00234464"/>
    <w:rsid w:val="002359B7"/>
    <w:rsid w:val="002508D6"/>
    <w:rsid w:val="00251B72"/>
    <w:rsid w:val="0026010D"/>
    <w:rsid w:val="002607C9"/>
    <w:rsid w:val="002609B0"/>
    <w:rsid w:val="00263F5E"/>
    <w:rsid w:val="00270FB7"/>
    <w:rsid w:val="0027247A"/>
    <w:rsid w:val="00272E76"/>
    <w:rsid w:val="002749C4"/>
    <w:rsid w:val="00282175"/>
    <w:rsid w:val="00283511"/>
    <w:rsid w:val="002950F0"/>
    <w:rsid w:val="002A24E5"/>
    <w:rsid w:val="002A2F7C"/>
    <w:rsid w:val="002A4D80"/>
    <w:rsid w:val="002B77F1"/>
    <w:rsid w:val="002C0FED"/>
    <w:rsid w:val="002C1780"/>
    <w:rsid w:val="002C1DCB"/>
    <w:rsid w:val="002C4045"/>
    <w:rsid w:val="002D0A85"/>
    <w:rsid w:val="002D1EEB"/>
    <w:rsid w:val="002E293F"/>
    <w:rsid w:val="002E3199"/>
    <w:rsid w:val="002E6F63"/>
    <w:rsid w:val="002E77B2"/>
    <w:rsid w:val="002F0958"/>
    <w:rsid w:val="00301ECA"/>
    <w:rsid w:val="0030587C"/>
    <w:rsid w:val="00310BBD"/>
    <w:rsid w:val="003113E5"/>
    <w:rsid w:val="00311AAD"/>
    <w:rsid w:val="00317074"/>
    <w:rsid w:val="0031761C"/>
    <w:rsid w:val="0033493B"/>
    <w:rsid w:val="00341BF5"/>
    <w:rsid w:val="00353F02"/>
    <w:rsid w:val="00355705"/>
    <w:rsid w:val="0035592E"/>
    <w:rsid w:val="003747FC"/>
    <w:rsid w:val="00383F24"/>
    <w:rsid w:val="003935BA"/>
    <w:rsid w:val="00393C68"/>
    <w:rsid w:val="0039658A"/>
    <w:rsid w:val="003A4A72"/>
    <w:rsid w:val="003B4330"/>
    <w:rsid w:val="003B4CAB"/>
    <w:rsid w:val="003B61FD"/>
    <w:rsid w:val="003B73F8"/>
    <w:rsid w:val="003C0CBC"/>
    <w:rsid w:val="003C2C4A"/>
    <w:rsid w:val="003C4F2C"/>
    <w:rsid w:val="003C66CD"/>
    <w:rsid w:val="003E223D"/>
    <w:rsid w:val="003E5647"/>
    <w:rsid w:val="003F03B2"/>
    <w:rsid w:val="003F0907"/>
    <w:rsid w:val="003F18A5"/>
    <w:rsid w:val="003F2284"/>
    <w:rsid w:val="003F6137"/>
    <w:rsid w:val="00400003"/>
    <w:rsid w:val="00401D22"/>
    <w:rsid w:val="00410D8A"/>
    <w:rsid w:val="00416905"/>
    <w:rsid w:val="00423B50"/>
    <w:rsid w:val="004250D7"/>
    <w:rsid w:val="004253F1"/>
    <w:rsid w:val="00427C12"/>
    <w:rsid w:val="00431C8F"/>
    <w:rsid w:val="00432E1C"/>
    <w:rsid w:val="004352A8"/>
    <w:rsid w:val="004421FA"/>
    <w:rsid w:val="00442D60"/>
    <w:rsid w:val="00443D0F"/>
    <w:rsid w:val="0044531A"/>
    <w:rsid w:val="004501EB"/>
    <w:rsid w:val="00453233"/>
    <w:rsid w:val="00455627"/>
    <w:rsid w:val="00456B13"/>
    <w:rsid w:val="00457229"/>
    <w:rsid w:val="00461D4D"/>
    <w:rsid w:val="004733E2"/>
    <w:rsid w:val="004773AF"/>
    <w:rsid w:val="00481D94"/>
    <w:rsid w:val="00482ED6"/>
    <w:rsid w:val="00483047"/>
    <w:rsid w:val="004852FA"/>
    <w:rsid w:val="004930BA"/>
    <w:rsid w:val="004957F3"/>
    <w:rsid w:val="004964D1"/>
    <w:rsid w:val="004B4001"/>
    <w:rsid w:val="004C6EA7"/>
    <w:rsid w:val="004D379B"/>
    <w:rsid w:val="004D3E6F"/>
    <w:rsid w:val="004D7CC0"/>
    <w:rsid w:val="004F141C"/>
    <w:rsid w:val="004F2259"/>
    <w:rsid w:val="004F33F0"/>
    <w:rsid w:val="00500D3F"/>
    <w:rsid w:val="00502FE5"/>
    <w:rsid w:val="005064F1"/>
    <w:rsid w:val="00511C0E"/>
    <w:rsid w:val="0051375D"/>
    <w:rsid w:val="00516999"/>
    <w:rsid w:val="0052093D"/>
    <w:rsid w:val="00530934"/>
    <w:rsid w:val="00531463"/>
    <w:rsid w:val="00531CC2"/>
    <w:rsid w:val="00533746"/>
    <w:rsid w:val="00542A95"/>
    <w:rsid w:val="005472D8"/>
    <w:rsid w:val="00556118"/>
    <w:rsid w:val="00561787"/>
    <w:rsid w:val="005636A6"/>
    <w:rsid w:val="00570382"/>
    <w:rsid w:val="00573C98"/>
    <w:rsid w:val="005759A2"/>
    <w:rsid w:val="00581EA9"/>
    <w:rsid w:val="005A3E00"/>
    <w:rsid w:val="005A69AE"/>
    <w:rsid w:val="005B2D16"/>
    <w:rsid w:val="005B3094"/>
    <w:rsid w:val="005B6002"/>
    <w:rsid w:val="005C1100"/>
    <w:rsid w:val="005C12FC"/>
    <w:rsid w:val="005C1BCC"/>
    <w:rsid w:val="005D7884"/>
    <w:rsid w:val="005E204C"/>
    <w:rsid w:val="005E5F96"/>
    <w:rsid w:val="00600C5F"/>
    <w:rsid w:val="00616235"/>
    <w:rsid w:val="0061655B"/>
    <w:rsid w:val="00625BC0"/>
    <w:rsid w:val="00631A77"/>
    <w:rsid w:val="00637D11"/>
    <w:rsid w:val="00640171"/>
    <w:rsid w:val="006506B5"/>
    <w:rsid w:val="0065694E"/>
    <w:rsid w:val="0066265A"/>
    <w:rsid w:val="00674800"/>
    <w:rsid w:val="00690F46"/>
    <w:rsid w:val="00691490"/>
    <w:rsid w:val="006933DF"/>
    <w:rsid w:val="006A5441"/>
    <w:rsid w:val="006A7859"/>
    <w:rsid w:val="006B24DE"/>
    <w:rsid w:val="006D2148"/>
    <w:rsid w:val="006D459A"/>
    <w:rsid w:val="006E07B5"/>
    <w:rsid w:val="006E129C"/>
    <w:rsid w:val="00716089"/>
    <w:rsid w:val="007177C5"/>
    <w:rsid w:val="00720F58"/>
    <w:rsid w:val="007266A9"/>
    <w:rsid w:val="00730EEF"/>
    <w:rsid w:val="00736F0F"/>
    <w:rsid w:val="007400CC"/>
    <w:rsid w:val="00744BFB"/>
    <w:rsid w:val="00750931"/>
    <w:rsid w:val="00760016"/>
    <w:rsid w:val="00761D99"/>
    <w:rsid w:val="00761F08"/>
    <w:rsid w:val="00762A12"/>
    <w:rsid w:val="00773536"/>
    <w:rsid w:val="00775D34"/>
    <w:rsid w:val="00776D17"/>
    <w:rsid w:val="00791883"/>
    <w:rsid w:val="007A1166"/>
    <w:rsid w:val="007A381E"/>
    <w:rsid w:val="007A42BB"/>
    <w:rsid w:val="007A736E"/>
    <w:rsid w:val="007B4DD2"/>
    <w:rsid w:val="007B6B8E"/>
    <w:rsid w:val="007B71D1"/>
    <w:rsid w:val="007C7822"/>
    <w:rsid w:val="007D5C11"/>
    <w:rsid w:val="007D5EF9"/>
    <w:rsid w:val="007D62D8"/>
    <w:rsid w:val="007D68B4"/>
    <w:rsid w:val="007E0C13"/>
    <w:rsid w:val="007E4374"/>
    <w:rsid w:val="00800776"/>
    <w:rsid w:val="008019F8"/>
    <w:rsid w:val="00816038"/>
    <w:rsid w:val="008253DE"/>
    <w:rsid w:val="00833F64"/>
    <w:rsid w:val="00857B3C"/>
    <w:rsid w:val="008761EB"/>
    <w:rsid w:val="0089542E"/>
    <w:rsid w:val="00896818"/>
    <w:rsid w:val="008A322E"/>
    <w:rsid w:val="008A3AB3"/>
    <w:rsid w:val="008A7638"/>
    <w:rsid w:val="008B38F4"/>
    <w:rsid w:val="008B5880"/>
    <w:rsid w:val="008C3678"/>
    <w:rsid w:val="008F2B21"/>
    <w:rsid w:val="008F4E2A"/>
    <w:rsid w:val="008F5EFA"/>
    <w:rsid w:val="0090715E"/>
    <w:rsid w:val="00907F28"/>
    <w:rsid w:val="009127D3"/>
    <w:rsid w:val="00921129"/>
    <w:rsid w:val="0093424B"/>
    <w:rsid w:val="00940135"/>
    <w:rsid w:val="00941D89"/>
    <w:rsid w:val="00941E29"/>
    <w:rsid w:val="0094764C"/>
    <w:rsid w:val="00950AB1"/>
    <w:rsid w:val="009559CA"/>
    <w:rsid w:val="009574A3"/>
    <w:rsid w:val="00975EB8"/>
    <w:rsid w:val="00976185"/>
    <w:rsid w:val="00982EC5"/>
    <w:rsid w:val="00991E4A"/>
    <w:rsid w:val="0099562B"/>
    <w:rsid w:val="009A2DE5"/>
    <w:rsid w:val="009E26CE"/>
    <w:rsid w:val="009E61F1"/>
    <w:rsid w:val="009E642D"/>
    <w:rsid w:val="009F2CEF"/>
    <w:rsid w:val="00A0377B"/>
    <w:rsid w:val="00A06A4F"/>
    <w:rsid w:val="00A1701F"/>
    <w:rsid w:val="00A1742B"/>
    <w:rsid w:val="00A25539"/>
    <w:rsid w:val="00A262BD"/>
    <w:rsid w:val="00A2696A"/>
    <w:rsid w:val="00A27632"/>
    <w:rsid w:val="00A31760"/>
    <w:rsid w:val="00A5428D"/>
    <w:rsid w:val="00A57AD0"/>
    <w:rsid w:val="00A63F3D"/>
    <w:rsid w:val="00A72BB8"/>
    <w:rsid w:val="00A74B13"/>
    <w:rsid w:val="00A74F5D"/>
    <w:rsid w:val="00A810F7"/>
    <w:rsid w:val="00A81229"/>
    <w:rsid w:val="00A9124F"/>
    <w:rsid w:val="00A969BC"/>
    <w:rsid w:val="00AB2F72"/>
    <w:rsid w:val="00AB5EA8"/>
    <w:rsid w:val="00AC1274"/>
    <w:rsid w:val="00AD135C"/>
    <w:rsid w:val="00AE2B98"/>
    <w:rsid w:val="00AF64E5"/>
    <w:rsid w:val="00B00895"/>
    <w:rsid w:val="00B1016C"/>
    <w:rsid w:val="00B15D67"/>
    <w:rsid w:val="00B168E2"/>
    <w:rsid w:val="00B16C11"/>
    <w:rsid w:val="00B22DA4"/>
    <w:rsid w:val="00B26A2C"/>
    <w:rsid w:val="00B4124F"/>
    <w:rsid w:val="00B42861"/>
    <w:rsid w:val="00B47872"/>
    <w:rsid w:val="00B50F1E"/>
    <w:rsid w:val="00B511EB"/>
    <w:rsid w:val="00B52707"/>
    <w:rsid w:val="00B527DC"/>
    <w:rsid w:val="00B6110B"/>
    <w:rsid w:val="00B713FA"/>
    <w:rsid w:val="00B82B7A"/>
    <w:rsid w:val="00B909B1"/>
    <w:rsid w:val="00B96BA7"/>
    <w:rsid w:val="00BA715B"/>
    <w:rsid w:val="00BB67CB"/>
    <w:rsid w:val="00BC5703"/>
    <w:rsid w:val="00BC69EA"/>
    <w:rsid w:val="00BD19C2"/>
    <w:rsid w:val="00BF19D3"/>
    <w:rsid w:val="00C00153"/>
    <w:rsid w:val="00C034A0"/>
    <w:rsid w:val="00C132C2"/>
    <w:rsid w:val="00C26298"/>
    <w:rsid w:val="00C3079A"/>
    <w:rsid w:val="00C42523"/>
    <w:rsid w:val="00C67118"/>
    <w:rsid w:val="00C82D74"/>
    <w:rsid w:val="00C9167A"/>
    <w:rsid w:val="00C95A55"/>
    <w:rsid w:val="00CA0101"/>
    <w:rsid w:val="00CA3566"/>
    <w:rsid w:val="00CA3BEE"/>
    <w:rsid w:val="00CA549C"/>
    <w:rsid w:val="00CA559E"/>
    <w:rsid w:val="00CB62EE"/>
    <w:rsid w:val="00CC0619"/>
    <w:rsid w:val="00CC50A9"/>
    <w:rsid w:val="00CD11BF"/>
    <w:rsid w:val="00CE2602"/>
    <w:rsid w:val="00CE2841"/>
    <w:rsid w:val="00CE40B1"/>
    <w:rsid w:val="00CE7BD3"/>
    <w:rsid w:val="00D02B59"/>
    <w:rsid w:val="00D03A2D"/>
    <w:rsid w:val="00D13A33"/>
    <w:rsid w:val="00D13DD1"/>
    <w:rsid w:val="00D16E18"/>
    <w:rsid w:val="00D20C1A"/>
    <w:rsid w:val="00D45B0D"/>
    <w:rsid w:val="00D45E7A"/>
    <w:rsid w:val="00D46104"/>
    <w:rsid w:val="00D50D08"/>
    <w:rsid w:val="00D57AEA"/>
    <w:rsid w:val="00D60051"/>
    <w:rsid w:val="00D60321"/>
    <w:rsid w:val="00D62266"/>
    <w:rsid w:val="00D65995"/>
    <w:rsid w:val="00D7691B"/>
    <w:rsid w:val="00D83562"/>
    <w:rsid w:val="00D83A2C"/>
    <w:rsid w:val="00D84C83"/>
    <w:rsid w:val="00D87BCD"/>
    <w:rsid w:val="00D901D3"/>
    <w:rsid w:val="00D911A8"/>
    <w:rsid w:val="00DB0021"/>
    <w:rsid w:val="00DB47E2"/>
    <w:rsid w:val="00DB7B68"/>
    <w:rsid w:val="00DD69A0"/>
    <w:rsid w:val="00DE4AEC"/>
    <w:rsid w:val="00DE4DA0"/>
    <w:rsid w:val="00DF3262"/>
    <w:rsid w:val="00DF40A8"/>
    <w:rsid w:val="00DF76A0"/>
    <w:rsid w:val="00E050BF"/>
    <w:rsid w:val="00E072B4"/>
    <w:rsid w:val="00E122E4"/>
    <w:rsid w:val="00E1527A"/>
    <w:rsid w:val="00E17A90"/>
    <w:rsid w:val="00E20FD0"/>
    <w:rsid w:val="00E27C34"/>
    <w:rsid w:val="00E33015"/>
    <w:rsid w:val="00E4058F"/>
    <w:rsid w:val="00E44B73"/>
    <w:rsid w:val="00E47515"/>
    <w:rsid w:val="00E51A85"/>
    <w:rsid w:val="00E54BAF"/>
    <w:rsid w:val="00E609D6"/>
    <w:rsid w:val="00E60DC1"/>
    <w:rsid w:val="00E6178A"/>
    <w:rsid w:val="00E66DA7"/>
    <w:rsid w:val="00E8193C"/>
    <w:rsid w:val="00E82891"/>
    <w:rsid w:val="00E86D4E"/>
    <w:rsid w:val="00EA5092"/>
    <w:rsid w:val="00EA5B4A"/>
    <w:rsid w:val="00EB2E6A"/>
    <w:rsid w:val="00EC24A9"/>
    <w:rsid w:val="00EC4F35"/>
    <w:rsid w:val="00EC7670"/>
    <w:rsid w:val="00ED376F"/>
    <w:rsid w:val="00ED3B49"/>
    <w:rsid w:val="00EE0109"/>
    <w:rsid w:val="00EE1040"/>
    <w:rsid w:val="00EF1E45"/>
    <w:rsid w:val="00F0577A"/>
    <w:rsid w:val="00F13C21"/>
    <w:rsid w:val="00F15420"/>
    <w:rsid w:val="00F24AEA"/>
    <w:rsid w:val="00F316C4"/>
    <w:rsid w:val="00F3383B"/>
    <w:rsid w:val="00F408E7"/>
    <w:rsid w:val="00F41F3A"/>
    <w:rsid w:val="00F42075"/>
    <w:rsid w:val="00F73F76"/>
    <w:rsid w:val="00F7659E"/>
    <w:rsid w:val="00F8102D"/>
    <w:rsid w:val="00F9407B"/>
    <w:rsid w:val="00FA175F"/>
    <w:rsid w:val="00FB4B48"/>
    <w:rsid w:val="00FB7148"/>
    <w:rsid w:val="00FB790D"/>
    <w:rsid w:val="00FC1AB6"/>
    <w:rsid w:val="00FD36DC"/>
    <w:rsid w:val="00FD7B80"/>
    <w:rsid w:val="00FE230D"/>
    <w:rsid w:val="00FE2970"/>
    <w:rsid w:val="00FE3AE3"/>
    <w:rsid w:val="00FE7D83"/>
    <w:rsid w:val="00FF33A2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B92B4"/>
  <w15:docId w15:val="{8BBBB546-99C9-4F77-AE5D-AFE6759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9B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9B1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7515"/>
    <w:pPr>
      <w:contextualSpacing/>
    </w:pPr>
  </w:style>
  <w:style w:type="character" w:styleId="Hyperlink">
    <w:name w:val="Hyperlink"/>
    <w:basedOn w:val="DefaultParagraphFont"/>
    <w:uiPriority w:val="99"/>
    <w:unhideWhenUsed/>
    <w:rsid w:val="00907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09B1"/>
    <w:pPr>
      <w:spacing w:line="240" w:lineRule="auto"/>
      <w:jc w:val="center"/>
    </w:pPr>
    <w:rPr>
      <w:b/>
      <w:bCs/>
      <w:color w:val="4F81BD" w:themeColor="accent1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9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C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6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5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23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0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83F24"/>
    <w:pPr>
      <w:widowControl w:val="0"/>
      <w:spacing w:after="0" w:line="240" w:lineRule="auto"/>
      <w:ind w:left="8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83F2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F8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2D"/>
  </w:style>
  <w:style w:type="table" w:customStyle="1" w:styleId="TableGrid1">
    <w:name w:val="Table Grid1"/>
    <w:basedOn w:val="TableNormal"/>
    <w:next w:val="TableGrid"/>
    <w:uiPriority w:val="59"/>
    <w:rsid w:val="00F3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D8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1D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1D89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7D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11"/>
  </w:style>
  <w:style w:type="character" w:styleId="LineNumber">
    <w:name w:val="line number"/>
    <w:basedOn w:val="DefaultParagraphFont"/>
    <w:uiPriority w:val="99"/>
    <w:semiHidden/>
    <w:unhideWhenUsed/>
    <w:rsid w:val="007D5C11"/>
  </w:style>
  <w:style w:type="paragraph" w:styleId="Revision">
    <w:name w:val="Revision"/>
    <w:hidden/>
    <w:uiPriority w:val="99"/>
    <w:semiHidden/>
    <w:rsid w:val="00D76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BDFF-6D9C-4E7C-ADE9-29A2CF93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Huffines, James Lee</dc:creator>
  <cp:keywords/>
  <dc:description/>
  <cp:lastModifiedBy>Remy, Russell</cp:lastModifiedBy>
  <cp:revision>3</cp:revision>
  <cp:lastPrinted>2017-03-01T19:12:00Z</cp:lastPrinted>
  <dcterms:created xsi:type="dcterms:W3CDTF">2018-03-29T20:34:00Z</dcterms:created>
  <dcterms:modified xsi:type="dcterms:W3CDTF">2018-03-29T20:39:00Z</dcterms:modified>
</cp:coreProperties>
</file>