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15" w:rsidRPr="00B64BD3" w:rsidRDefault="00B64BD3" w:rsidP="00436F10">
      <w:pPr>
        <w:ind w:left="-360"/>
        <w:rPr>
          <w:rFonts w:asciiTheme="minorHAnsi" w:hAnsiTheme="minorHAnsi"/>
          <w:b/>
          <w:sz w:val="28"/>
          <w:szCs w:val="28"/>
        </w:rPr>
      </w:pPr>
      <w:r w:rsidRPr="00B64BD3">
        <w:rPr>
          <w:rFonts w:asciiTheme="minorHAnsi" w:hAnsiTheme="minorHAnsi"/>
          <w:b/>
          <w:sz w:val="28"/>
          <w:szCs w:val="28"/>
        </w:rPr>
        <w:t>LEXINGTON COUNTY, SOUTH CAROLINA</w:t>
      </w:r>
    </w:p>
    <w:p w:rsidR="002F5016" w:rsidRPr="00436F10" w:rsidRDefault="005C4C33" w:rsidP="00436F10">
      <w:pPr>
        <w:ind w:left="-360"/>
        <w:rPr>
          <w:rFonts w:asciiTheme="minorHAnsi" w:hAnsiTheme="minorHAnsi"/>
          <w:b/>
          <w:i/>
          <w:sz w:val="28"/>
          <w:szCs w:val="28"/>
          <w:u w:val="single"/>
        </w:rPr>
      </w:pPr>
      <w:r w:rsidRPr="00436F10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B64BD3">
        <w:rPr>
          <w:rFonts w:asciiTheme="minorHAnsi" w:hAnsiTheme="minorHAnsi"/>
          <w:b/>
          <w:i/>
          <w:sz w:val="28"/>
          <w:szCs w:val="28"/>
          <w:u w:val="single"/>
        </w:rPr>
        <w:t xml:space="preserve">Quality Assurance </w:t>
      </w:r>
      <w:r w:rsidRPr="00436F10">
        <w:rPr>
          <w:rFonts w:asciiTheme="minorHAnsi" w:hAnsiTheme="minorHAnsi"/>
          <w:b/>
          <w:i/>
          <w:sz w:val="28"/>
          <w:szCs w:val="28"/>
          <w:u w:val="single"/>
        </w:rPr>
        <w:t>Notes</w:t>
      </w:r>
    </w:p>
    <w:p w:rsidR="007950D4" w:rsidRPr="00580415" w:rsidRDefault="00FD65E4" w:rsidP="00FD65E4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580415">
        <w:rPr>
          <w:rFonts w:asciiTheme="minorHAnsi" w:hAnsiTheme="minorHAnsi"/>
        </w:rPr>
        <w:t xml:space="preserve">Checkpoints are located on </w:t>
      </w:r>
      <w:r w:rsidR="005C4C33" w:rsidRPr="00580415">
        <w:rPr>
          <w:rFonts w:asciiTheme="minorHAnsi" w:hAnsiTheme="minorHAnsi"/>
        </w:rPr>
        <w:t>pages</w:t>
      </w:r>
      <w:r w:rsidRPr="00580415">
        <w:rPr>
          <w:rFonts w:asciiTheme="minorHAnsi" w:hAnsiTheme="minorHAnsi"/>
        </w:rPr>
        <w:t xml:space="preserve"> 10-11 within  Survey Report entitled                                   </w:t>
      </w:r>
      <w:r w:rsidR="00580415">
        <w:rPr>
          <w:rFonts w:asciiTheme="minorHAnsi" w:hAnsiTheme="minorHAnsi"/>
        </w:rPr>
        <w:t xml:space="preserve">   </w:t>
      </w:r>
      <w:r w:rsidRPr="00580415">
        <w:rPr>
          <w:rFonts w:asciiTheme="minorHAnsi" w:hAnsiTheme="minorHAnsi"/>
          <w:b/>
          <w:i/>
        </w:rPr>
        <w:t>“Final Report0203_Lexington”</w:t>
      </w:r>
    </w:p>
    <w:p w:rsidR="005C4C33" w:rsidRPr="00580415" w:rsidRDefault="005C4C33" w:rsidP="005C4C33">
      <w:pPr>
        <w:pStyle w:val="ListParagraph"/>
        <w:rPr>
          <w:rFonts w:asciiTheme="minorHAnsi" w:hAnsiTheme="minorHAnsi"/>
          <w:b/>
          <w:i/>
        </w:rPr>
      </w:pPr>
    </w:p>
    <w:p w:rsidR="00A75177" w:rsidRPr="00580415" w:rsidRDefault="005C4C33" w:rsidP="00436F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80415">
        <w:rPr>
          <w:rFonts w:asciiTheme="minorHAnsi" w:hAnsiTheme="minorHAnsi"/>
        </w:rPr>
        <w:t>Reference Page 11, of NGTOC</w:t>
      </w:r>
      <w:r w:rsidRPr="00580415">
        <w:rPr>
          <w:rFonts w:asciiTheme="minorHAnsi" w:hAnsiTheme="minorHAnsi"/>
          <w:b/>
          <w:i/>
        </w:rPr>
        <w:t xml:space="preserve"> “LiDAR Quality Assessment Report</w:t>
      </w:r>
      <w:r w:rsidR="00580415">
        <w:rPr>
          <w:rFonts w:asciiTheme="minorHAnsi" w:hAnsiTheme="minorHAnsi"/>
          <w:b/>
          <w:i/>
        </w:rPr>
        <w:t>.</w:t>
      </w:r>
      <w:r w:rsidRPr="00580415">
        <w:rPr>
          <w:rFonts w:asciiTheme="minorHAnsi" w:hAnsiTheme="minorHAnsi"/>
          <w:b/>
          <w:i/>
        </w:rPr>
        <w:t xml:space="preserve">”  </w:t>
      </w:r>
      <w:r w:rsidRPr="00580415">
        <w:rPr>
          <w:rFonts w:asciiTheme="minorHAnsi" w:hAnsiTheme="minorHAnsi"/>
        </w:rPr>
        <w:t>Line 4</w:t>
      </w:r>
      <w:r w:rsidR="00580415">
        <w:rPr>
          <w:rFonts w:asciiTheme="minorHAnsi" w:hAnsiTheme="minorHAnsi"/>
        </w:rPr>
        <w:t>,</w:t>
      </w:r>
      <w:r w:rsidRPr="00580415">
        <w:rPr>
          <w:rFonts w:asciiTheme="minorHAnsi" w:hAnsiTheme="minorHAnsi"/>
        </w:rPr>
        <w:t xml:space="preserve"> “Required FVA Value is 0.804 U.S. Feet or less</w:t>
      </w:r>
      <w:r w:rsidR="00A26D22" w:rsidRPr="00580415">
        <w:rPr>
          <w:rFonts w:asciiTheme="minorHAnsi" w:hAnsiTheme="minorHAnsi"/>
        </w:rPr>
        <w:t>” is incorrect.  Th</w:t>
      </w:r>
      <w:r w:rsidR="00B64BD3">
        <w:rPr>
          <w:rFonts w:asciiTheme="minorHAnsi" w:hAnsiTheme="minorHAnsi"/>
        </w:rPr>
        <w:t xml:space="preserve">is </w:t>
      </w:r>
      <w:r w:rsidR="00A26D22" w:rsidRPr="00580415">
        <w:rPr>
          <w:rFonts w:asciiTheme="minorHAnsi" w:hAnsiTheme="minorHAnsi"/>
        </w:rPr>
        <w:t>FVA target value should be 1.19 U.S. Feet</w:t>
      </w:r>
      <w:r w:rsidR="00B64BD3">
        <w:rPr>
          <w:rFonts w:asciiTheme="minorHAnsi" w:hAnsiTheme="minorHAnsi"/>
        </w:rPr>
        <w:t xml:space="preserve"> instead of 0.804</w:t>
      </w:r>
      <w:r w:rsidR="00580415" w:rsidRPr="00580415">
        <w:rPr>
          <w:rFonts w:asciiTheme="minorHAnsi" w:hAnsiTheme="minorHAnsi"/>
        </w:rPr>
        <w:t xml:space="preserve"> (</w:t>
      </w:r>
      <w:r w:rsidR="00B64BD3">
        <w:rPr>
          <w:rFonts w:asciiTheme="minorHAnsi" w:hAnsiTheme="minorHAnsi"/>
        </w:rPr>
        <w:t xml:space="preserve">please </w:t>
      </w:r>
      <w:r w:rsidR="00580415" w:rsidRPr="00580415">
        <w:rPr>
          <w:rFonts w:asciiTheme="minorHAnsi" w:hAnsiTheme="minorHAnsi"/>
        </w:rPr>
        <w:t>see table examples below</w:t>
      </w:r>
      <w:r w:rsidR="00B64BD3">
        <w:rPr>
          <w:rFonts w:asciiTheme="minorHAnsi" w:hAnsiTheme="minorHAnsi"/>
        </w:rPr>
        <w:t>)</w:t>
      </w:r>
      <w:r w:rsidR="00A26D22" w:rsidRPr="00580415">
        <w:rPr>
          <w:rFonts w:asciiTheme="minorHAnsi" w:hAnsiTheme="minorHAnsi"/>
        </w:rPr>
        <w:t xml:space="preserve">.  This correction should also reflect that the QA </w:t>
      </w:r>
      <w:proofErr w:type="spellStart"/>
      <w:r w:rsidR="00A26D22" w:rsidRPr="00580415">
        <w:rPr>
          <w:rFonts w:asciiTheme="minorHAnsi" w:hAnsiTheme="minorHAnsi"/>
        </w:rPr>
        <w:t>Accuracy</w:t>
      </w:r>
      <w:r w:rsidR="00A26D22" w:rsidRPr="00580415">
        <w:rPr>
          <w:rFonts w:asciiTheme="minorHAnsi" w:hAnsiTheme="minorHAnsi"/>
          <w:vertAlign w:val="subscript"/>
        </w:rPr>
        <w:t>z</w:t>
      </w:r>
      <w:proofErr w:type="spellEnd"/>
      <w:r w:rsidR="00A26D22" w:rsidRPr="00580415">
        <w:rPr>
          <w:rFonts w:asciiTheme="minorHAnsi" w:hAnsiTheme="minorHAnsi"/>
        </w:rPr>
        <w:t xml:space="preserve"> testing for the FVA val</w:t>
      </w:r>
      <w:r w:rsidR="00B64BD3">
        <w:rPr>
          <w:rFonts w:asciiTheme="minorHAnsi" w:hAnsiTheme="minorHAnsi"/>
        </w:rPr>
        <w:t>u</w:t>
      </w:r>
      <w:r w:rsidR="00A26D22" w:rsidRPr="00580415">
        <w:rPr>
          <w:rFonts w:asciiTheme="minorHAnsi" w:hAnsiTheme="minorHAnsi"/>
        </w:rPr>
        <w:t>e are als</w:t>
      </w:r>
      <w:r w:rsidR="00436F10" w:rsidRPr="00580415">
        <w:rPr>
          <w:rFonts w:asciiTheme="minorHAnsi" w:hAnsiTheme="minorHAnsi"/>
        </w:rPr>
        <w:t xml:space="preserve">o within the v13 Specifications, </w:t>
      </w:r>
      <w:r w:rsidR="00B64BD3">
        <w:rPr>
          <w:rFonts w:asciiTheme="minorHAnsi" w:hAnsiTheme="minorHAnsi"/>
        </w:rPr>
        <w:t>i.e. t</w:t>
      </w:r>
      <w:r w:rsidR="00436F10" w:rsidRPr="00580415">
        <w:rPr>
          <w:rFonts w:asciiTheme="minorHAnsi" w:hAnsiTheme="minorHAnsi"/>
        </w:rPr>
        <w:t xml:space="preserve">o say </w:t>
      </w:r>
      <w:r w:rsidR="00B64BD3">
        <w:rPr>
          <w:rFonts w:asciiTheme="minorHAnsi" w:hAnsiTheme="minorHAnsi"/>
        </w:rPr>
        <w:t xml:space="preserve">that </w:t>
      </w:r>
      <w:r w:rsidR="00436F10" w:rsidRPr="00580415">
        <w:rPr>
          <w:rFonts w:asciiTheme="minorHAnsi" w:hAnsiTheme="minorHAnsi"/>
        </w:rPr>
        <w:t xml:space="preserve">this </w:t>
      </w:r>
      <w:r w:rsidR="00436F10" w:rsidRPr="00B64BD3">
        <w:rPr>
          <w:rFonts w:asciiTheme="minorHAnsi" w:hAnsiTheme="minorHAnsi"/>
          <w:b/>
        </w:rPr>
        <w:t xml:space="preserve">dataset has passed its </w:t>
      </w:r>
      <w:r w:rsidR="00B64BD3" w:rsidRPr="00B64BD3">
        <w:rPr>
          <w:rFonts w:asciiTheme="minorHAnsi" w:hAnsiTheme="minorHAnsi"/>
          <w:b/>
        </w:rPr>
        <w:t xml:space="preserve">FVA </w:t>
      </w:r>
      <w:r w:rsidR="00436F10" w:rsidRPr="00B64BD3">
        <w:rPr>
          <w:rFonts w:asciiTheme="minorHAnsi" w:hAnsiTheme="minorHAnsi"/>
          <w:b/>
        </w:rPr>
        <w:t>accuracy test</w:t>
      </w:r>
      <w:r w:rsidR="00B64BD3">
        <w:rPr>
          <w:rFonts w:asciiTheme="minorHAnsi" w:hAnsiTheme="minorHAnsi"/>
        </w:rPr>
        <w:t xml:space="preserve"> requirements</w:t>
      </w:r>
      <w:r w:rsidR="00436F10" w:rsidRPr="00580415">
        <w:rPr>
          <w:rFonts w:asciiTheme="minorHAnsi" w:hAnsiTheme="minorHAnsi"/>
        </w:rPr>
        <w:t>.</w:t>
      </w:r>
    </w:p>
    <w:p w:rsidR="00436F10" w:rsidRPr="00580415" w:rsidRDefault="00436F10" w:rsidP="00436F10">
      <w:pPr>
        <w:pStyle w:val="ListParagraph"/>
        <w:rPr>
          <w:rFonts w:asciiTheme="minorHAnsi" w:hAnsiTheme="minorHAnsi"/>
        </w:rPr>
      </w:pPr>
    </w:p>
    <w:p w:rsidR="00436F10" w:rsidRPr="00580415" w:rsidRDefault="00580415" w:rsidP="00436F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80415">
        <w:rPr>
          <w:rFonts w:asciiTheme="minorHAnsi" w:hAnsiTheme="minorHAnsi"/>
        </w:rPr>
        <w:t xml:space="preserve">Water surface elevation for Lake Murray has been </w:t>
      </w:r>
      <w:r w:rsidRPr="00B64BD3">
        <w:rPr>
          <w:rFonts w:asciiTheme="minorHAnsi" w:hAnsiTheme="minorHAnsi"/>
          <w:b/>
        </w:rPr>
        <w:t>raised to 355.375 feet</w:t>
      </w:r>
    </w:p>
    <w:p w:rsidR="00580415" w:rsidRDefault="00580415" w:rsidP="00580415">
      <w:pPr>
        <w:pStyle w:val="ListParagraph"/>
      </w:pPr>
    </w:p>
    <w:p w:rsidR="00580415" w:rsidRDefault="00580415" w:rsidP="00580415">
      <w:pPr>
        <w:pStyle w:val="ListParagraph"/>
      </w:pPr>
      <w:bookmarkStart w:id="0" w:name="_GoBack"/>
      <w:bookmarkEnd w:id="0"/>
    </w:p>
    <w:p w:rsidR="00A75177" w:rsidRDefault="00A75177"/>
    <w:p w:rsidR="00196B4B" w:rsidRPr="005C4C33" w:rsidRDefault="007950D4" w:rsidP="00436F10">
      <w:pPr>
        <w:ind w:left="-360"/>
        <w:rPr>
          <w:rFonts w:asciiTheme="minorHAnsi" w:hAnsiTheme="minorHAnsi"/>
          <w:b/>
          <w:i/>
          <w:sz w:val="28"/>
          <w:szCs w:val="28"/>
          <w:u w:val="single"/>
        </w:rPr>
      </w:pPr>
      <w:r w:rsidRPr="005C4C33">
        <w:rPr>
          <w:rFonts w:asciiTheme="minorHAnsi" w:hAnsiTheme="minorHAnsi"/>
          <w:b/>
          <w:i/>
          <w:sz w:val="28"/>
          <w:szCs w:val="28"/>
          <w:u w:val="single"/>
        </w:rPr>
        <w:t>ASPRS Guidelines: Vertical Accuracy Reporting for LiDAR Data</w:t>
      </w:r>
      <w:r w:rsidR="00A75177" w:rsidRPr="005C4C33">
        <w:rPr>
          <w:rFonts w:asciiTheme="minorHAnsi" w:hAnsiTheme="minorHAnsi"/>
          <w:b/>
          <w:i/>
          <w:sz w:val="28"/>
          <w:szCs w:val="28"/>
          <w:u w:val="single"/>
        </w:rPr>
        <w:t xml:space="preserve"> (Page 3)</w:t>
      </w:r>
    </w:p>
    <w:p w:rsidR="00287A15" w:rsidRDefault="00287A15" w:rsidP="007950D4">
      <w:pPr>
        <w:jc w:val="center"/>
      </w:pPr>
    </w:p>
    <w:tbl>
      <w:tblPr>
        <w:tblW w:w="82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NMAS</w:t>
            </w:r>
          </w:p>
          <w:p w:rsidR="007950D4" w:rsidRPr="007950D4" w:rsidRDefault="007950D4" w:rsidP="007950D4">
            <w:pPr>
              <w:jc w:val="center"/>
            </w:pPr>
            <w:r w:rsidRPr="007950D4">
              <w:t>Equivalent Contour Interval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NSSDA</w:t>
            </w:r>
          </w:p>
          <w:p w:rsidR="007950D4" w:rsidRPr="007950D4" w:rsidRDefault="007950D4" w:rsidP="007950D4">
            <w:pPr>
              <w:jc w:val="center"/>
            </w:pPr>
            <w:r w:rsidRPr="007950D4">
              <w:rPr>
                <w:highlight w:val="yellow"/>
              </w:rPr>
              <w:t>RMSE</w:t>
            </w:r>
            <w:r w:rsidRPr="007950D4">
              <w:rPr>
                <w:szCs w:val="22"/>
                <w:highlight w:val="yellow"/>
                <w:vertAlign w:val="subscript"/>
              </w:rPr>
              <w:t>(z)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NSSDA</w:t>
            </w:r>
          </w:p>
          <w:p w:rsidR="007950D4" w:rsidRPr="007950D4" w:rsidRDefault="007950D4" w:rsidP="007950D4">
            <w:pPr>
              <w:jc w:val="center"/>
            </w:pPr>
            <w:r w:rsidRPr="007950D4">
              <w:rPr>
                <w:highlight w:val="green"/>
              </w:rPr>
              <w:t>Accuracy</w:t>
            </w:r>
            <w:r w:rsidRPr="007950D4">
              <w:rPr>
                <w:szCs w:val="22"/>
                <w:highlight w:val="green"/>
                <w:vertAlign w:val="subscript"/>
              </w:rPr>
              <w:t>(z)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Required Accuracy for Reference Data for</w:t>
            </w:r>
          </w:p>
          <w:p w:rsidR="007950D4" w:rsidRPr="007950D4" w:rsidRDefault="007950D4" w:rsidP="007950D4">
            <w:pPr>
              <w:jc w:val="center"/>
            </w:pPr>
            <w:r w:rsidRPr="007950D4">
              <w:t>“Tested to Meet”</w:t>
            </w:r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0.5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0.15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4.60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0.30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9.10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0.10 </w:t>
            </w:r>
            <w:proofErr w:type="spellStart"/>
            <w:r w:rsidRPr="007950D4">
              <w:t>ft</w:t>
            </w:r>
            <w:proofErr w:type="spellEnd"/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1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0.30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9.25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0.60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18.2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0.20 </w:t>
            </w:r>
            <w:proofErr w:type="spellStart"/>
            <w:r w:rsidRPr="007950D4">
              <w:t>ft</w:t>
            </w:r>
            <w:proofErr w:type="spellEnd"/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2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rPr>
                <w:highlight w:val="yellow"/>
              </w:rPr>
              <w:t xml:space="preserve">0.61 </w:t>
            </w:r>
            <w:proofErr w:type="spellStart"/>
            <w:r w:rsidRPr="007950D4">
              <w:rPr>
                <w:highlight w:val="yellow"/>
              </w:rPr>
              <w:t>ft</w:t>
            </w:r>
            <w:proofErr w:type="spellEnd"/>
            <w:r w:rsidRPr="007950D4">
              <w:t xml:space="preserve"> or 18.5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rPr>
                <w:highlight w:val="green"/>
              </w:rPr>
              <w:t xml:space="preserve">1.19 </w:t>
            </w:r>
            <w:proofErr w:type="spellStart"/>
            <w:r w:rsidRPr="007950D4">
              <w:rPr>
                <w:highlight w:val="green"/>
              </w:rPr>
              <w:t>ft</w:t>
            </w:r>
            <w:proofErr w:type="spellEnd"/>
            <w:r w:rsidRPr="007950D4">
              <w:t xml:space="preserve"> or 36.3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0.40 </w:t>
            </w:r>
            <w:proofErr w:type="spellStart"/>
            <w:r w:rsidRPr="007950D4">
              <w:t>ft</w:t>
            </w:r>
            <w:proofErr w:type="spellEnd"/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4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1.22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37.0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2.38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72.6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0.79 </w:t>
            </w:r>
            <w:proofErr w:type="spellStart"/>
            <w:r w:rsidRPr="007950D4">
              <w:t>ft</w:t>
            </w:r>
            <w:proofErr w:type="spellEnd"/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5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1.52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46.3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2.98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90.8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0.99 </w:t>
            </w:r>
            <w:proofErr w:type="spellStart"/>
            <w:r w:rsidRPr="007950D4">
              <w:t>ft</w:t>
            </w:r>
            <w:proofErr w:type="spellEnd"/>
          </w:p>
        </w:tc>
      </w:tr>
      <w:tr w:rsidR="007950D4" w:rsidRPr="007950D4" w:rsidTr="005C4C33"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>10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3.04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92.7 cm</w:t>
            </w:r>
          </w:p>
        </w:tc>
        <w:tc>
          <w:tcPr>
            <w:tcW w:w="2070" w:type="dxa"/>
          </w:tcPr>
          <w:p w:rsidR="007950D4" w:rsidRPr="007950D4" w:rsidRDefault="007950D4" w:rsidP="007950D4">
            <w:r w:rsidRPr="007950D4">
              <w:t xml:space="preserve">5.96 </w:t>
            </w:r>
            <w:proofErr w:type="spellStart"/>
            <w:r w:rsidRPr="007950D4">
              <w:t>ft</w:t>
            </w:r>
            <w:proofErr w:type="spellEnd"/>
            <w:r w:rsidRPr="007950D4">
              <w:t xml:space="preserve"> or 181.6 cm</w:t>
            </w:r>
          </w:p>
        </w:tc>
        <w:tc>
          <w:tcPr>
            <w:tcW w:w="2070" w:type="dxa"/>
          </w:tcPr>
          <w:p w:rsidR="007950D4" w:rsidRPr="007950D4" w:rsidRDefault="007950D4" w:rsidP="007950D4">
            <w:pPr>
              <w:jc w:val="center"/>
            </w:pPr>
            <w:r w:rsidRPr="007950D4">
              <w:t xml:space="preserve">1.98 </w:t>
            </w:r>
            <w:proofErr w:type="spellStart"/>
            <w:r w:rsidRPr="007950D4">
              <w:t>ft</w:t>
            </w:r>
            <w:proofErr w:type="spellEnd"/>
          </w:p>
        </w:tc>
      </w:tr>
    </w:tbl>
    <w:p w:rsidR="00196B4B" w:rsidRDefault="00196B4B"/>
    <w:p w:rsidR="005C4C33" w:rsidRPr="00580415" w:rsidRDefault="005C4C33" w:rsidP="005C4C33">
      <w:pPr>
        <w:jc w:val="center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287A15" w:rsidRDefault="00A75177" w:rsidP="00436F10">
      <w:pPr>
        <w:ind w:left="-360"/>
        <w:rPr>
          <w:rFonts w:asciiTheme="minorHAnsi" w:hAnsiTheme="minorHAnsi"/>
          <w:b/>
          <w:i/>
          <w:sz w:val="28"/>
          <w:szCs w:val="28"/>
          <w:u w:val="single"/>
        </w:rPr>
      </w:pPr>
      <w:r w:rsidRPr="005C4C33">
        <w:rPr>
          <w:rFonts w:asciiTheme="minorHAnsi" w:hAnsiTheme="minorHAnsi"/>
          <w:b/>
          <w:i/>
          <w:sz w:val="28"/>
          <w:szCs w:val="28"/>
          <w:u w:val="single"/>
        </w:rPr>
        <w:t>Dewberry Quality Assurance Test Report (Page 4)</w:t>
      </w:r>
    </w:p>
    <w:p w:rsidR="005C4C33" w:rsidRPr="005C4C33" w:rsidRDefault="005C4C33" w:rsidP="005C4C33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tbl>
      <w:tblPr>
        <w:tblW w:w="0" w:type="auto"/>
        <w:jc w:val="center"/>
        <w:tblInd w:w="-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675"/>
        <w:gridCol w:w="777"/>
        <w:gridCol w:w="980"/>
        <w:gridCol w:w="810"/>
        <w:gridCol w:w="927"/>
        <w:gridCol w:w="917"/>
        <w:gridCol w:w="810"/>
        <w:gridCol w:w="722"/>
      </w:tblGrid>
      <w:tr w:rsidR="00436F10" w:rsidTr="00F22C5D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100 % of Totals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 w:rsidRPr="00A75177">
              <w:rPr>
                <w:b/>
                <w:bCs/>
                <w:sz w:val="20"/>
                <w:szCs w:val="20"/>
                <w:highlight w:val="yellow"/>
              </w:rPr>
              <w:t>RMSE</w:t>
            </w:r>
            <w:r w:rsidRPr="00A75177">
              <w:rPr>
                <w:b/>
                <w:bCs/>
                <w:sz w:val="13"/>
                <w:szCs w:val="13"/>
                <w:highlight w:val="yellow"/>
              </w:rPr>
              <w:t xml:space="preserve">Z </w:t>
            </w:r>
            <w:r w:rsidRPr="00A75177">
              <w:rPr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A75177">
              <w:rPr>
                <w:b/>
                <w:bCs/>
                <w:sz w:val="20"/>
                <w:szCs w:val="20"/>
                <w:highlight w:val="yellow"/>
              </w:rPr>
              <w:t>ft</w:t>
            </w:r>
            <w:proofErr w:type="spellEnd"/>
            <w:r w:rsidRPr="00A75177">
              <w:rPr>
                <w:b/>
                <w:bCs/>
                <w:sz w:val="20"/>
                <w:szCs w:val="20"/>
                <w:highlight w:val="yellow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Spec=0.6 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Mean (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Median (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Skew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of Points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 (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(</w:t>
            </w:r>
            <w:proofErr w:type="spellStart"/>
            <w:r>
              <w:rPr>
                <w:b/>
                <w:bCs/>
                <w:sz w:val="20"/>
                <w:szCs w:val="20"/>
              </w:rPr>
              <w:t>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Consolidated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0.43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-1.41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0.43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-1.93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Terrain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 w:rsidRPr="00A75177">
              <w:rPr>
                <w:sz w:val="20"/>
                <w:szCs w:val="20"/>
                <w:highlight w:val="yellow"/>
              </w:rPr>
              <w:t>0.45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-1.51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-1.66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Brush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0.36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0.20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-1.36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0.30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-0.69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0.65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Grass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0.36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0.45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0.37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-0.57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0.53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-0.26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-0.10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-2.11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0.47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-1.93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0.26 </w:t>
            </w:r>
          </w:p>
        </w:tc>
      </w:tr>
      <w:tr w:rsidR="00436F10" w:rsidTr="00F22C5D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0.38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0.37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0.37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-0.83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0.59 </w:t>
            </w:r>
          </w:p>
        </w:tc>
      </w:tr>
    </w:tbl>
    <w:p w:rsidR="00436F10" w:rsidRDefault="00436F10"/>
    <w:tbl>
      <w:tblPr>
        <w:tblW w:w="0" w:type="auto"/>
        <w:tblInd w:w="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705"/>
        <w:gridCol w:w="1757"/>
        <w:gridCol w:w="1660"/>
        <w:gridCol w:w="1840"/>
      </w:tblGrid>
      <w:tr w:rsidR="00436F10" w:rsidTr="00436F1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Land Cover Category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Points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FVA 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― </w:t>
            </w:r>
            <w:r>
              <w:rPr>
                <w:b/>
                <w:bCs/>
                <w:sz w:val="18"/>
                <w:szCs w:val="18"/>
              </w:rPr>
              <w:t>Fundamental Vertical Accuracy (</w:t>
            </w:r>
            <w:r w:rsidRPr="00A75177">
              <w:rPr>
                <w:b/>
                <w:bCs/>
                <w:sz w:val="18"/>
                <w:szCs w:val="18"/>
                <w:highlight w:val="green"/>
              </w:rPr>
              <w:t>RMSE</w:t>
            </w:r>
            <w:r w:rsidRPr="00A75177">
              <w:rPr>
                <w:b/>
                <w:bCs/>
                <w:sz w:val="12"/>
                <w:szCs w:val="12"/>
                <w:highlight w:val="green"/>
              </w:rPr>
              <w:t xml:space="preserve">Z </w:t>
            </w:r>
            <w:r w:rsidRPr="00A75177">
              <w:rPr>
                <w:b/>
                <w:bCs/>
                <w:sz w:val="18"/>
                <w:szCs w:val="18"/>
                <w:highlight w:val="green"/>
              </w:rPr>
              <w:t>x 1.9600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 w:rsidRPr="00A75177">
              <w:rPr>
                <w:b/>
                <w:bCs/>
                <w:sz w:val="18"/>
                <w:szCs w:val="18"/>
                <w:highlight w:val="green"/>
              </w:rPr>
              <w:t xml:space="preserve">Spec=1.20 </w:t>
            </w:r>
            <w:proofErr w:type="spellStart"/>
            <w:r w:rsidRPr="00A75177">
              <w:rPr>
                <w:b/>
                <w:bCs/>
                <w:sz w:val="18"/>
                <w:szCs w:val="18"/>
                <w:highlight w:val="green"/>
              </w:rPr>
              <w:t>ft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CVA 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― </w:t>
            </w:r>
            <w:r>
              <w:rPr>
                <w:b/>
                <w:bCs/>
                <w:sz w:val="18"/>
                <w:szCs w:val="18"/>
              </w:rPr>
              <w:t xml:space="preserve">Consolidated Vertical Accuracy (95th Percentile) Spec=1.20 </w:t>
            </w:r>
            <w:proofErr w:type="spellStart"/>
            <w:r>
              <w:rPr>
                <w:b/>
                <w:bCs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SVA 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― </w:t>
            </w:r>
            <w:r>
              <w:rPr>
                <w:b/>
                <w:bCs/>
                <w:sz w:val="18"/>
                <w:szCs w:val="18"/>
              </w:rPr>
              <w:t xml:space="preserve">Supplemental Vertical Accuracy (95th Percentile) Spec=1.20 </w:t>
            </w:r>
            <w:proofErr w:type="spellStart"/>
            <w:r>
              <w:rPr>
                <w:b/>
                <w:bCs/>
                <w:sz w:val="18"/>
                <w:szCs w:val="18"/>
              </w:rPr>
              <w:t>ft</w:t>
            </w:r>
            <w:proofErr w:type="spellEnd"/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Terrain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 w:rsidRPr="00A75177">
              <w:rPr>
                <w:sz w:val="20"/>
                <w:szCs w:val="20"/>
                <w:highlight w:val="green"/>
              </w:rPr>
              <w:t>0.88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Grass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Brush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</w:tr>
      <w:tr w:rsidR="00436F10" w:rsidTr="00436F1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6F10" w:rsidRDefault="00436F10" w:rsidP="00F22C5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6F10" w:rsidRDefault="00436F10" w:rsidP="00F22C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</w:tbl>
    <w:p w:rsidR="00196B4B" w:rsidRDefault="00196B4B"/>
    <w:sectPr w:rsidR="00196B4B" w:rsidSect="0058041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245"/>
    <w:multiLevelType w:val="hybridMultilevel"/>
    <w:tmpl w:val="E8BC0B36"/>
    <w:lvl w:ilvl="0" w:tplc="3CC47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4B"/>
    <w:rsid w:val="00196B4B"/>
    <w:rsid w:val="00287A15"/>
    <w:rsid w:val="002F5016"/>
    <w:rsid w:val="00316284"/>
    <w:rsid w:val="00436F10"/>
    <w:rsid w:val="00580415"/>
    <w:rsid w:val="005C4C33"/>
    <w:rsid w:val="006B79C2"/>
    <w:rsid w:val="007950D4"/>
    <w:rsid w:val="00A26D22"/>
    <w:rsid w:val="00A75177"/>
    <w:rsid w:val="00B64BD3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A1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A1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B98D-1139-4AE0-93CF-42130C2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Merrill, Gary L.</dc:creator>
  <cp:lastModifiedBy>Merrill, Gary L.</cp:lastModifiedBy>
  <cp:revision>1</cp:revision>
  <dcterms:created xsi:type="dcterms:W3CDTF">2013-08-15T15:55:00Z</dcterms:created>
  <dcterms:modified xsi:type="dcterms:W3CDTF">2013-08-15T17:48:00Z</dcterms:modified>
</cp:coreProperties>
</file>